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43E1" w14:textId="77777777" w:rsidR="00637225" w:rsidRPr="00720183" w:rsidRDefault="00286D31" w:rsidP="006013E0">
      <w:pPr>
        <w:pStyle w:val="1"/>
        <w:pageBreakBefore w:val="0"/>
        <w:widowControl w:val="0"/>
        <w:tabs>
          <w:tab w:val="left" w:pos="360"/>
        </w:tabs>
        <w:spacing w:beforeLines="0" w:line="360" w:lineRule="auto"/>
        <w:jc w:val="center"/>
        <w:rPr>
          <w:rFonts w:ascii="黑体" w:hAnsi="黑体"/>
          <w:caps w:val="0"/>
          <w:snapToGrid/>
          <w:spacing w:val="-4"/>
          <w:kern w:val="44"/>
          <w:szCs w:val="32"/>
        </w:rPr>
      </w:pPr>
      <w:bookmarkStart w:id="0" w:name="_Toc84571956"/>
      <w:r w:rsidRPr="00720183">
        <w:rPr>
          <w:rFonts w:ascii="黑体" w:hAnsi="黑体" w:hint="eastAsia"/>
          <w:caps w:val="0"/>
          <w:snapToGrid/>
          <w:spacing w:val="-4"/>
          <w:kern w:val="44"/>
          <w:szCs w:val="32"/>
        </w:rPr>
        <w:t>2021年土壤环境修复行业市场分析报告</w:t>
      </w:r>
    </w:p>
    <w:p w14:paraId="40AFBCD2" w14:textId="77777777" w:rsidR="00637225" w:rsidRPr="002249DB" w:rsidRDefault="00286D31" w:rsidP="006013E0">
      <w:pPr>
        <w:snapToGrid w:val="0"/>
        <w:spacing w:line="360" w:lineRule="auto"/>
        <w:jc w:val="center"/>
        <w:rPr>
          <w:rFonts w:ascii="宋体" w:hAnsi="宋体"/>
          <w:sz w:val="24"/>
        </w:rPr>
      </w:pPr>
      <w:r w:rsidRPr="002249DB">
        <w:rPr>
          <w:rFonts w:ascii="宋体" w:hAnsi="宋体" w:hint="eastAsia"/>
          <w:sz w:val="24"/>
        </w:rPr>
        <w:t xml:space="preserve">生态环境部环境规划院  徐怒潮  范云  孙宁  </w:t>
      </w:r>
      <w:proofErr w:type="gramStart"/>
      <w:r w:rsidRPr="002249DB">
        <w:rPr>
          <w:rFonts w:ascii="宋体" w:hAnsi="宋体" w:hint="eastAsia"/>
          <w:sz w:val="24"/>
        </w:rPr>
        <w:t>丁贞玉</w:t>
      </w:r>
      <w:proofErr w:type="gramEnd"/>
    </w:p>
    <w:p w14:paraId="30EB92F7" w14:textId="77777777" w:rsidR="00637225" w:rsidRPr="002249DB" w:rsidRDefault="00286D31" w:rsidP="006013E0">
      <w:pPr>
        <w:snapToGrid w:val="0"/>
        <w:spacing w:line="360" w:lineRule="auto"/>
        <w:jc w:val="center"/>
        <w:rPr>
          <w:rFonts w:ascii="宋体" w:hAnsi="宋体"/>
          <w:sz w:val="24"/>
        </w:rPr>
      </w:pPr>
      <w:r w:rsidRPr="002249DB">
        <w:rPr>
          <w:rFonts w:ascii="宋体" w:hAnsi="宋体" w:cs="宋体" w:hint="eastAsia"/>
          <w:sz w:val="24"/>
          <w:lang w:bidi="ar"/>
        </w:rPr>
        <w:t>北京高能时代环境技术股份有限公司</w:t>
      </w:r>
      <w:r w:rsidR="00A83070" w:rsidRPr="002249DB">
        <w:rPr>
          <w:rFonts w:ascii="宋体" w:hAnsi="宋体" w:cs="宋体" w:hint="eastAsia"/>
          <w:sz w:val="24"/>
          <w:lang w:bidi="ar"/>
        </w:rPr>
        <w:t xml:space="preserve"> </w:t>
      </w:r>
      <w:r w:rsidR="00A83070" w:rsidRPr="002249DB">
        <w:rPr>
          <w:rFonts w:ascii="宋体" w:hAnsi="宋体" w:cs="宋体"/>
          <w:sz w:val="24"/>
          <w:lang w:bidi="ar"/>
        </w:rPr>
        <w:t xml:space="preserve"> </w:t>
      </w:r>
      <w:r w:rsidR="00A83070" w:rsidRPr="002249DB">
        <w:rPr>
          <w:rFonts w:ascii="宋体" w:hAnsi="宋体" w:cs="宋体" w:hint="eastAsia"/>
          <w:sz w:val="24"/>
          <w:lang w:bidi="ar"/>
        </w:rPr>
        <w:t>金勇 董天昊 李璋琦</w:t>
      </w:r>
    </w:p>
    <w:p w14:paraId="23357014" w14:textId="77777777" w:rsidR="00637225" w:rsidRDefault="00286D31" w:rsidP="006013E0">
      <w:pPr>
        <w:pStyle w:val="1"/>
        <w:pageBreakBefore w:val="0"/>
        <w:widowControl w:val="0"/>
        <w:adjustRightInd/>
        <w:spacing w:beforeLines="0" w:line="360" w:lineRule="auto"/>
        <w:rPr>
          <w:rFonts w:cstheme="minorBidi"/>
          <w:bCs/>
          <w:caps w:val="0"/>
          <w:snapToGrid/>
          <w:kern w:val="44"/>
          <w:szCs w:val="44"/>
        </w:rPr>
      </w:pPr>
      <w:r>
        <w:rPr>
          <w:rFonts w:cstheme="minorBidi" w:hint="eastAsia"/>
          <w:bCs/>
          <w:caps w:val="0"/>
          <w:snapToGrid/>
          <w:kern w:val="44"/>
          <w:szCs w:val="44"/>
        </w:rPr>
        <w:t>1</w:t>
      </w:r>
      <w:r>
        <w:rPr>
          <w:rFonts w:cstheme="minorBidi" w:hint="eastAsia"/>
          <w:bCs/>
          <w:caps w:val="0"/>
          <w:snapToGrid/>
          <w:kern w:val="44"/>
          <w:szCs w:val="44"/>
        </w:rPr>
        <w:t>总体市场篇：</w:t>
      </w:r>
      <w:r>
        <w:rPr>
          <w:rFonts w:cstheme="minorBidi" w:hint="eastAsia"/>
          <w:bCs/>
          <w:caps w:val="0"/>
          <w:snapToGrid/>
          <w:kern w:val="44"/>
          <w:szCs w:val="44"/>
        </w:rPr>
        <w:t>202</w:t>
      </w:r>
      <w:r>
        <w:rPr>
          <w:rFonts w:cstheme="minorBidi"/>
          <w:bCs/>
          <w:caps w:val="0"/>
          <w:snapToGrid/>
          <w:kern w:val="44"/>
          <w:szCs w:val="44"/>
        </w:rPr>
        <w:t>1</w:t>
      </w:r>
      <w:r>
        <w:rPr>
          <w:rFonts w:cstheme="minorBidi" w:hint="eastAsia"/>
          <w:bCs/>
          <w:caps w:val="0"/>
          <w:snapToGrid/>
          <w:kern w:val="44"/>
          <w:szCs w:val="44"/>
        </w:rPr>
        <w:t>年修复行业</w:t>
      </w:r>
      <w:bookmarkEnd w:id="0"/>
      <w:r>
        <w:rPr>
          <w:rFonts w:cstheme="minorBidi" w:hint="eastAsia"/>
          <w:bCs/>
          <w:caps w:val="0"/>
          <w:snapToGrid/>
          <w:kern w:val="44"/>
          <w:szCs w:val="44"/>
        </w:rPr>
        <w:t>市场概况</w:t>
      </w:r>
    </w:p>
    <w:p w14:paraId="54196C08"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土壤环境修复行业发展规模和水平是衡量我国土壤环境修复产业发展成熟度和土壤污染防治治理体系现代化的重要标准。基于中国政府采购网、千里马招标网、建设招标网、招标导航网、行业信息发布等获得的招投标信息，生态环境部环境规划院会同北京高能时代环境技术股份有限公司共同对202</w:t>
      </w:r>
      <w:r>
        <w:rPr>
          <w:rFonts w:asciiTheme="minorEastAsia" w:eastAsiaTheme="minorEastAsia" w:hAnsiTheme="minorEastAsia"/>
          <w:sz w:val="24"/>
        </w:rPr>
        <w:t>1</w:t>
      </w:r>
      <w:r>
        <w:rPr>
          <w:rFonts w:asciiTheme="minorEastAsia" w:eastAsiaTheme="minorEastAsia" w:hAnsiTheme="minorEastAsia" w:hint="eastAsia"/>
          <w:sz w:val="24"/>
        </w:rPr>
        <w:t>年我国土壤环境修复市场总体状况进行了统计分析，以期为各级土壤环境管理决策者和从业单位提供重要参考和依据。</w:t>
      </w:r>
    </w:p>
    <w:p w14:paraId="6E5254A8" w14:textId="03809E54" w:rsidR="00637225" w:rsidRPr="002249DB" w:rsidRDefault="006013E0"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r w:rsidRPr="002249DB">
        <w:rPr>
          <w:rFonts w:eastAsia="黑体" w:hint="eastAsia"/>
          <w:color w:val="000000" w:themeColor="text1"/>
        </w:rPr>
        <w:t>1</w:t>
      </w:r>
      <w:r w:rsidRPr="002249DB">
        <w:rPr>
          <w:rFonts w:eastAsia="黑体"/>
          <w:color w:val="000000" w:themeColor="text1"/>
        </w:rPr>
        <w:t>.1</w:t>
      </w:r>
      <w:r w:rsidR="00286D31" w:rsidRPr="002249DB">
        <w:rPr>
          <w:rFonts w:eastAsia="黑体" w:hint="eastAsia"/>
          <w:color w:val="000000" w:themeColor="text1"/>
        </w:rPr>
        <w:t>全国市场概况</w:t>
      </w:r>
    </w:p>
    <w:p w14:paraId="6786A47E" w14:textId="0D399B76"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w:t>
      </w:r>
      <w:r>
        <w:rPr>
          <w:rFonts w:asciiTheme="minorEastAsia" w:eastAsiaTheme="minorEastAsia" w:hAnsiTheme="minorEastAsia"/>
          <w:sz w:val="24"/>
        </w:rPr>
        <w:t>1</w:t>
      </w:r>
      <w:r>
        <w:rPr>
          <w:rFonts w:asciiTheme="minorEastAsia" w:eastAsiaTheme="minorEastAsia" w:hAnsiTheme="minorEastAsia" w:hint="eastAsia"/>
          <w:sz w:val="24"/>
        </w:rPr>
        <w:t>年全国开展公开招投标的土壤治理修复项目共计</w:t>
      </w:r>
      <w:r>
        <w:rPr>
          <w:rFonts w:asciiTheme="minorEastAsia" w:eastAsiaTheme="minorEastAsia" w:hAnsiTheme="minorEastAsia"/>
          <w:sz w:val="24"/>
        </w:rPr>
        <w:t>3626</w:t>
      </w:r>
      <w:r>
        <w:rPr>
          <w:rFonts w:asciiTheme="minorEastAsia" w:eastAsiaTheme="minorEastAsia" w:hAnsiTheme="minorEastAsia" w:hint="eastAsia"/>
          <w:sz w:val="24"/>
        </w:rPr>
        <w:t>个，项目总金额约为</w:t>
      </w:r>
      <w:r>
        <w:rPr>
          <w:rFonts w:asciiTheme="minorEastAsia" w:eastAsiaTheme="minorEastAsia" w:hAnsiTheme="minorEastAsia"/>
          <w:sz w:val="24"/>
        </w:rPr>
        <w:t>156.6</w:t>
      </w:r>
      <w:r>
        <w:rPr>
          <w:rFonts w:asciiTheme="minorEastAsia" w:eastAsiaTheme="minorEastAsia" w:hAnsiTheme="minorEastAsia" w:hint="eastAsia"/>
          <w:sz w:val="24"/>
        </w:rPr>
        <w:t>亿元，覆盖全国除港澳台以外的3</w:t>
      </w:r>
      <w:r>
        <w:rPr>
          <w:rFonts w:asciiTheme="minorEastAsia" w:eastAsiaTheme="minorEastAsia" w:hAnsiTheme="minorEastAsia"/>
          <w:sz w:val="24"/>
        </w:rPr>
        <w:t>1</w:t>
      </w:r>
      <w:r>
        <w:rPr>
          <w:rFonts w:asciiTheme="minorEastAsia" w:eastAsiaTheme="minorEastAsia" w:hAnsiTheme="minorEastAsia" w:hint="eastAsia"/>
          <w:sz w:val="24"/>
        </w:rPr>
        <w:t>个省（区、市）。其中咨询服务类项目</w:t>
      </w:r>
      <w:r>
        <w:rPr>
          <w:rFonts w:asciiTheme="minorEastAsia" w:eastAsiaTheme="minorEastAsia" w:hAnsiTheme="minorEastAsia"/>
          <w:sz w:val="24"/>
        </w:rPr>
        <w:t>3123</w:t>
      </w:r>
      <w:r>
        <w:rPr>
          <w:rFonts w:asciiTheme="minorEastAsia" w:eastAsiaTheme="minorEastAsia" w:hAnsiTheme="minorEastAsia" w:hint="eastAsia"/>
          <w:sz w:val="24"/>
        </w:rPr>
        <w:t>个，占全国项目数量的</w:t>
      </w:r>
      <w:r>
        <w:rPr>
          <w:rFonts w:asciiTheme="minorEastAsia" w:eastAsiaTheme="minorEastAsia" w:hAnsiTheme="minorEastAsia"/>
          <w:sz w:val="24"/>
        </w:rPr>
        <w:t>86</w:t>
      </w:r>
      <w:r>
        <w:rPr>
          <w:rFonts w:asciiTheme="minorEastAsia" w:eastAsiaTheme="minorEastAsia" w:hAnsiTheme="minorEastAsia" w:hint="eastAsia"/>
          <w:sz w:val="24"/>
        </w:rPr>
        <w:t>%，项目金额</w:t>
      </w:r>
      <w:r>
        <w:rPr>
          <w:rFonts w:asciiTheme="minorEastAsia" w:eastAsiaTheme="minorEastAsia" w:hAnsiTheme="minorEastAsia"/>
          <w:sz w:val="24"/>
        </w:rPr>
        <w:t>35</w:t>
      </w:r>
      <w:r>
        <w:rPr>
          <w:rFonts w:asciiTheme="minorEastAsia" w:eastAsiaTheme="minorEastAsia" w:hAnsiTheme="minorEastAsia" w:hint="eastAsia"/>
          <w:sz w:val="24"/>
        </w:rPr>
        <w:t>亿元，占全国项目金额的</w:t>
      </w:r>
      <w:r>
        <w:rPr>
          <w:rFonts w:asciiTheme="minorEastAsia" w:eastAsiaTheme="minorEastAsia" w:hAnsiTheme="minorEastAsia"/>
          <w:sz w:val="24"/>
        </w:rPr>
        <w:t>22</w:t>
      </w:r>
      <w:r>
        <w:rPr>
          <w:rFonts w:asciiTheme="minorEastAsia" w:eastAsiaTheme="minorEastAsia" w:hAnsiTheme="minorEastAsia" w:hint="eastAsia"/>
          <w:sz w:val="24"/>
        </w:rPr>
        <w:t>%；修复工程类项目数量</w:t>
      </w:r>
      <w:r>
        <w:rPr>
          <w:rFonts w:asciiTheme="minorEastAsia" w:eastAsiaTheme="minorEastAsia" w:hAnsiTheme="minorEastAsia"/>
          <w:sz w:val="24"/>
        </w:rPr>
        <w:t>503</w:t>
      </w:r>
      <w:r>
        <w:rPr>
          <w:rFonts w:asciiTheme="minorEastAsia" w:eastAsiaTheme="minorEastAsia" w:hAnsiTheme="minorEastAsia" w:hint="eastAsia"/>
          <w:sz w:val="24"/>
        </w:rPr>
        <w:t>个，占全国项目数量的1</w:t>
      </w:r>
      <w:r>
        <w:rPr>
          <w:rFonts w:asciiTheme="minorEastAsia" w:eastAsiaTheme="minorEastAsia" w:hAnsiTheme="minorEastAsia"/>
          <w:sz w:val="24"/>
        </w:rPr>
        <w:t>4</w:t>
      </w:r>
      <w:r>
        <w:rPr>
          <w:rFonts w:asciiTheme="minorEastAsia" w:eastAsiaTheme="minorEastAsia" w:hAnsiTheme="minorEastAsia" w:hint="eastAsia"/>
          <w:sz w:val="24"/>
        </w:rPr>
        <w:t>%，项目金额</w:t>
      </w:r>
      <w:r>
        <w:rPr>
          <w:rFonts w:asciiTheme="minorEastAsia" w:eastAsiaTheme="minorEastAsia" w:hAnsiTheme="minorEastAsia"/>
          <w:sz w:val="24"/>
        </w:rPr>
        <w:t>121.6</w:t>
      </w:r>
      <w:r>
        <w:rPr>
          <w:rFonts w:asciiTheme="minorEastAsia" w:eastAsiaTheme="minorEastAsia" w:hAnsiTheme="minorEastAsia" w:hint="eastAsia"/>
          <w:sz w:val="24"/>
        </w:rPr>
        <w:t>亿元，占全国项目总金额的7</w:t>
      </w:r>
      <w:r>
        <w:rPr>
          <w:rFonts w:asciiTheme="minorEastAsia" w:eastAsiaTheme="minorEastAsia" w:hAnsiTheme="minorEastAsia"/>
          <w:sz w:val="24"/>
        </w:rPr>
        <w:t>8</w:t>
      </w:r>
      <w:r>
        <w:rPr>
          <w:rFonts w:asciiTheme="minorEastAsia" w:eastAsiaTheme="minorEastAsia" w:hAnsiTheme="minorEastAsia" w:hint="eastAsia"/>
          <w:sz w:val="24"/>
        </w:rPr>
        <w:t>%。</w:t>
      </w:r>
    </w:p>
    <w:p w14:paraId="6E4D35A4" w14:textId="77777777" w:rsidR="00637225" w:rsidRDefault="00286D31" w:rsidP="006013E0">
      <w:pPr>
        <w:snapToGrid w:val="0"/>
        <w:spacing w:line="360" w:lineRule="auto"/>
        <w:ind w:firstLineChars="200" w:firstLine="480"/>
        <w:rPr>
          <w:rFonts w:asciiTheme="minorEastAsia" w:eastAsiaTheme="minorEastAsia" w:hAnsiTheme="minorEastAsia"/>
          <w:sz w:val="24"/>
        </w:rPr>
      </w:pPr>
      <w:bookmarkStart w:id="1" w:name="_Hlk66986197"/>
      <w:r>
        <w:rPr>
          <w:rFonts w:asciiTheme="minorEastAsia" w:eastAsiaTheme="minorEastAsia" w:hAnsiTheme="minorEastAsia" w:hint="eastAsia"/>
          <w:sz w:val="24"/>
        </w:rPr>
        <w:t>市场规模数据显示，2017-202</w:t>
      </w:r>
      <w:r>
        <w:rPr>
          <w:rFonts w:asciiTheme="minorEastAsia" w:eastAsiaTheme="minorEastAsia" w:hAnsiTheme="minorEastAsia"/>
          <w:sz w:val="24"/>
        </w:rPr>
        <w:t>1</w:t>
      </w:r>
      <w:r>
        <w:rPr>
          <w:rFonts w:asciiTheme="minorEastAsia" w:eastAsiaTheme="minorEastAsia" w:hAnsiTheme="minorEastAsia" w:hint="eastAsia"/>
          <w:sz w:val="24"/>
        </w:rPr>
        <w:t>年我国土壤修复行业公开招投标项目数量分别为800个、1468个、1698个、3521个、3</w:t>
      </w:r>
      <w:r>
        <w:rPr>
          <w:rFonts w:asciiTheme="minorEastAsia" w:eastAsiaTheme="minorEastAsia" w:hAnsiTheme="minorEastAsia"/>
          <w:sz w:val="24"/>
        </w:rPr>
        <w:t>626</w:t>
      </w:r>
      <w:r>
        <w:rPr>
          <w:rFonts w:asciiTheme="minorEastAsia" w:eastAsiaTheme="minorEastAsia" w:hAnsiTheme="minorEastAsia" w:hint="eastAsia"/>
          <w:sz w:val="24"/>
        </w:rPr>
        <w:t>个，土壤环境修复项目数量逐年增加，2020年增加幅度最为明显，较2019年翻一番，2</w:t>
      </w:r>
      <w:r>
        <w:rPr>
          <w:rFonts w:asciiTheme="minorEastAsia" w:eastAsiaTheme="minorEastAsia" w:hAnsiTheme="minorEastAsia"/>
          <w:sz w:val="24"/>
        </w:rPr>
        <w:t>021</w:t>
      </w:r>
      <w:r>
        <w:rPr>
          <w:rFonts w:asciiTheme="minorEastAsia" w:eastAsiaTheme="minorEastAsia" w:hAnsiTheme="minorEastAsia" w:hint="eastAsia"/>
          <w:sz w:val="24"/>
        </w:rPr>
        <w:t>年持续增长。项目总金额分别为86.9亿元、141.6亿元、118.4亿元、142.7亿元、1</w:t>
      </w:r>
      <w:r>
        <w:rPr>
          <w:rFonts w:asciiTheme="minorEastAsia" w:eastAsiaTheme="minorEastAsia" w:hAnsiTheme="minorEastAsia"/>
          <w:sz w:val="24"/>
        </w:rPr>
        <w:t>56.8</w:t>
      </w:r>
      <w:r>
        <w:rPr>
          <w:rFonts w:asciiTheme="minorEastAsia" w:eastAsiaTheme="minorEastAsia" w:hAnsiTheme="minorEastAsia" w:hint="eastAsia"/>
          <w:sz w:val="24"/>
        </w:rPr>
        <w:t>亿元，项目金额上202</w:t>
      </w:r>
      <w:r>
        <w:rPr>
          <w:rFonts w:asciiTheme="minorEastAsia" w:eastAsiaTheme="minorEastAsia" w:hAnsiTheme="minorEastAsia"/>
          <w:sz w:val="24"/>
        </w:rPr>
        <w:t>1</w:t>
      </w:r>
      <w:r>
        <w:rPr>
          <w:rFonts w:asciiTheme="minorEastAsia" w:eastAsiaTheme="minorEastAsia" w:hAnsiTheme="minorEastAsia" w:hint="eastAsia"/>
          <w:sz w:val="24"/>
        </w:rPr>
        <w:t>年达到了最高值，首次超过了150亿元。</w:t>
      </w:r>
    </w:p>
    <w:p w14:paraId="3C738F71"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w:t>
      </w:r>
      <w:r w:rsidRPr="002249DB">
        <w:rPr>
          <w:rFonts w:ascii="宋体" w:hAnsi="宋体"/>
          <w:b/>
          <w:bCs/>
        </w:rPr>
        <w:t>1</w:t>
      </w:r>
      <w:r w:rsidRPr="002249DB">
        <w:rPr>
          <w:rFonts w:ascii="宋体" w:hAnsi="宋体" w:hint="eastAsia"/>
          <w:b/>
          <w:bCs/>
        </w:rPr>
        <w:t>-1  2017-202</w:t>
      </w:r>
      <w:r w:rsidRPr="002249DB">
        <w:rPr>
          <w:rFonts w:ascii="宋体" w:hAnsi="宋体"/>
          <w:b/>
          <w:bCs/>
        </w:rPr>
        <w:t>1</w:t>
      </w:r>
      <w:r w:rsidRPr="002249DB">
        <w:rPr>
          <w:rFonts w:ascii="宋体" w:hAnsi="宋体" w:hint="eastAsia"/>
          <w:b/>
          <w:bCs/>
        </w:rPr>
        <w:t>年土壤修复行业市场规模统计表</w:t>
      </w:r>
    </w:p>
    <w:tbl>
      <w:tblPr>
        <w:tblW w:w="5000" w:type="pct"/>
        <w:tblLook w:val="04A0" w:firstRow="1" w:lastRow="0" w:firstColumn="1" w:lastColumn="0" w:noHBand="0" w:noVBand="1"/>
      </w:tblPr>
      <w:tblGrid>
        <w:gridCol w:w="794"/>
        <w:gridCol w:w="917"/>
        <w:gridCol w:w="886"/>
        <w:gridCol w:w="966"/>
        <w:gridCol w:w="886"/>
        <w:gridCol w:w="793"/>
        <w:gridCol w:w="857"/>
        <w:gridCol w:w="793"/>
        <w:gridCol w:w="871"/>
        <w:gridCol w:w="859"/>
      </w:tblGrid>
      <w:tr w:rsidR="00637225" w:rsidRPr="0093704B" w14:paraId="455A268E" w14:textId="77777777" w:rsidTr="006013E0">
        <w:trPr>
          <w:trHeight w:val="428"/>
          <w:tblHeader/>
        </w:trPr>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52B931"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年份</w:t>
            </w:r>
          </w:p>
        </w:tc>
        <w:tc>
          <w:tcPr>
            <w:tcW w:w="1606" w:type="pct"/>
            <w:gridSpan w:val="3"/>
            <w:tcBorders>
              <w:top w:val="single" w:sz="4" w:space="0" w:color="auto"/>
              <w:left w:val="nil"/>
              <w:bottom w:val="single" w:sz="4" w:space="0" w:color="auto"/>
              <w:right w:val="single" w:sz="4" w:space="0" w:color="000000"/>
            </w:tcBorders>
            <w:shd w:val="clear" w:color="auto" w:fill="auto"/>
            <w:vAlign w:val="center"/>
          </w:tcPr>
          <w:p w14:paraId="58977028"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咨询服务类项目</w:t>
            </w:r>
          </w:p>
        </w:tc>
        <w:tc>
          <w:tcPr>
            <w:tcW w:w="1471" w:type="pct"/>
            <w:gridSpan w:val="3"/>
            <w:tcBorders>
              <w:top w:val="single" w:sz="4" w:space="0" w:color="auto"/>
              <w:left w:val="nil"/>
              <w:bottom w:val="single" w:sz="4" w:space="0" w:color="auto"/>
              <w:right w:val="single" w:sz="4" w:space="0" w:color="000000"/>
            </w:tcBorders>
            <w:shd w:val="clear" w:color="auto" w:fill="auto"/>
            <w:vAlign w:val="center"/>
          </w:tcPr>
          <w:p w14:paraId="44B682D3"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工程类项目</w:t>
            </w:r>
          </w:p>
        </w:tc>
        <w:tc>
          <w:tcPr>
            <w:tcW w:w="1463" w:type="pct"/>
            <w:gridSpan w:val="3"/>
            <w:tcBorders>
              <w:top w:val="single" w:sz="4" w:space="0" w:color="auto"/>
              <w:left w:val="nil"/>
              <w:bottom w:val="single" w:sz="4" w:space="0" w:color="auto"/>
              <w:right w:val="single" w:sz="4" w:space="0" w:color="000000"/>
            </w:tcBorders>
            <w:shd w:val="clear" w:color="auto" w:fill="auto"/>
            <w:vAlign w:val="center"/>
          </w:tcPr>
          <w:p w14:paraId="28C5BFC1"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总计</w:t>
            </w:r>
          </w:p>
        </w:tc>
      </w:tr>
      <w:tr w:rsidR="00637225" w:rsidRPr="0093704B" w14:paraId="7B2E53FA" w14:textId="77777777" w:rsidTr="006013E0">
        <w:trPr>
          <w:trHeight w:val="593"/>
          <w:tblHeader/>
        </w:trPr>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85EE74" w14:textId="77777777" w:rsidR="00637225" w:rsidRPr="0093704B" w:rsidRDefault="00637225" w:rsidP="006013E0">
            <w:pPr>
              <w:widowControl/>
              <w:snapToGrid w:val="0"/>
              <w:spacing w:line="360" w:lineRule="auto"/>
              <w:jc w:val="left"/>
              <w:rPr>
                <w:b/>
                <w:bCs/>
                <w:color w:val="000000"/>
                <w:kern w:val="0"/>
                <w:szCs w:val="21"/>
              </w:rPr>
            </w:pPr>
          </w:p>
        </w:tc>
        <w:tc>
          <w:tcPr>
            <w:tcW w:w="532" w:type="pct"/>
            <w:tcBorders>
              <w:top w:val="nil"/>
              <w:left w:val="nil"/>
              <w:bottom w:val="single" w:sz="4" w:space="0" w:color="auto"/>
              <w:right w:val="single" w:sz="4" w:space="0" w:color="auto"/>
            </w:tcBorders>
            <w:shd w:val="clear" w:color="auto" w:fill="auto"/>
            <w:vAlign w:val="center"/>
          </w:tcPr>
          <w:p w14:paraId="63199BF3"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金额</w:t>
            </w:r>
            <w:r w:rsidRPr="0093704B">
              <w:rPr>
                <w:b/>
                <w:bCs/>
                <w:color w:val="000000"/>
                <w:kern w:val="0"/>
                <w:szCs w:val="21"/>
              </w:rPr>
              <w:t>/</w:t>
            </w:r>
          </w:p>
        </w:tc>
        <w:tc>
          <w:tcPr>
            <w:tcW w:w="514" w:type="pct"/>
            <w:tcBorders>
              <w:top w:val="nil"/>
              <w:left w:val="nil"/>
              <w:bottom w:val="single" w:sz="4" w:space="0" w:color="auto"/>
              <w:right w:val="single" w:sz="4" w:space="0" w:color="auto"/>
            </w:tcBorders>
            <w:shd w:val="clear" w:color="auto" w:fill="auto"/>
            <w:vAlign w:val="center"/>
          </w:tcPr>
          <w:p w14:paraId="6880A1E0"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w:t>
            </w:r>
          </w:p>
          <w:p w14:paraId="29CEFE18"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数量</w:t>
            </w:r>
            <w:r w:rsidRPr="0093704B">
              <w:rPr>
                <w:b/>
                <w:bCs/>
                <w:color w:val="000000"/>
                <w:kern w:val="0"/>
                <w:szCs w:val="21"/>
              </w:rPr>
              <w:t>/</w:t>
            </w:r>
          </w:p>
        </w:tc>
        <w:tc>
          <w:tcPr>
            <w:tcW w:w="560" w:type="pct"/>
            <w:vMerge w:val="restart"/>
            <w:tcBorders>
              <w:top w:val="nil"/>
              <w:left w:val="single" w:sz="4" w:space="0" w:color="auto"/>
              <w:bottom w:val="single" w:sz="4" w:space="0" w:color="auto"/>
              <w:right w:val="single" w:sz="4" w:space="0" w:color="auto"/>
            </w:tcBorders>
            <w:shd w:val="clear" w:color="auto" w:fill="auto"/>
            <w:vAlign w:val="center"/>
          </w:tcPr>
          <w:p w14:paraId="04F6B1E5"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项目平均价格（万元</w:t>
            </w:r>
            <w:r w:rsidRPr="0093704B">
              <w:rPr>
                <w:b/>
                <w:bCs/>
                <w:color w:val="000000"/>
                <w:kern w:val="0"/>
                <w:szCs w:val="21"/>
              </w:rPr>
              <w:t>/</w:t>
            </w:r>
            <w:proofErr w:type="gramStart"/>
            <w:r w:rsidRPr="0093704B">
              <w:rPr>
                <w:b/>
                <w:bCs/>
                <w:color w:val="000000"/>
                <w:kern w:val="0"/>
                <w:szCs w:val="21"/>
              </w:rPr>
              <w:t>个</w:t>
            </w:r>
            <w:proofErr w:type="gramEnd"/>
            <w:r w:rsidRPr="0093704B">
              <w:rPr>
                <w:b/>
                <w:bCs/>
                <w:color w:val="000000"/>
                <w:kern w:val="0"/>
                <w:szCs w:val="21"/>
              </w:rPr>
              <w:t>）</w:t>
            </w:r>
          </w:p>
        </w:tc>
        <w:tc>
          <w:tcPr>
            <w:tcW w:w="514" w:type="pct"/>
            <w:tcBorders>
              <w:top w:val="nil"/>
              <w:left w:val="nil"/>
              <w:bottom w:val="single" w:sz="4" w:space="0" w:color="auto"/>
              <w:right w:val="single" w:sz="4" w:space="0" w:color="auto"/>
            </w:tcBorders>
            <w:shd w:val="clear" w:color="auto" w:fill="auto"/>
            <w:vAlign w:val="center"/>
          </w:tcPr>
          <w:p w14:paraId="07134323"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金额</w:t>
            </w:r>
            <w:r w:rsidRPr="0093704B">
              <w:rPr>
                <w:b/>
                <w:bCs/>
                <w:color w:val="000000"/>
                <w:kern w:val="0"/>
                <w:szCs w:val="21"/>
              </w:rPr>
              <w:t>/</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tcPr>
          <w:p w14:paraId="090337E3"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项目数量</w:t>
            </w:r>
            <w:r w:rsidRPr="0093704B">
              <w:rPr>
                <w:b/>
                <w:bCs/>
                <w:color w:val="000000"/>
                <w:kern w:val="0"/>
                <w:szCs w:val="21"/>
              </w:rPr>
              <w:t>/</w:t>
            </w:r>
            <w:proofErr w:type="gramStart"/>
            <w:r w:rsidRPr="0093704B">
              <w:rPr>
                <w:b/>
                <w:bCs/>
                <w:color w:val="000000"/>
                <w:kern w:val="0"/>
                <w:szCs w:val="21"/>
              </w:rPr>
              <w:t>个</w:t>
            </w:r>
            <w:proofErr w:type="gramEnd"/>
          </w:p>
        </w:tc>
        <w:tc>
          <w:tcPr>
            <w:tcW w:w="497" w:type="pct"/>
            <w:vMerge w:val="restart"/>
            <w:tcBorders>
              <w:top w:val="nil"/>
              <w:left w:val="single" w:sz="4" w:space="0" w:color="auto"/>
              <w:bottom w:val="single" w:sz="4" w:space="0" w:color="000000"/>
              <w:right w:val="single" w:sz="4" w:space="0" w:color="auto"/>
            </w:tcBorders>
            <w:shd w:val="clear" w:color="auto" w:fill="auto"/>
            <w:vAlign w:val="center"/>
          </w:tcPr>
          <w:p w14:paraId="5B83AC58"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项目平均价格（万元</w:t>
            </w:r>
            <w:r w:rsidRPr="0093704B">
              <w:rPr>
                <w:b/>
                <w:bCs/>
                <w:color w:val="000000"/>
                <w:kern w:val="0"/>
                <w:szCs w:val="21"/>
              </w:rPr>
              <w:t>/</w:t>
            </w:r>
            <w:proofErr w:type="gramStart"/>
            <w:r w:rsidRPr="0093704B">
              <w:rPr>
                <w:b/>
                <w:bCs/>
                <w:color w:val="000000"/>
                <w:kern w:val="0"/>
                <w:szCs w:val="21"/>
              </w:rPr>
              <w:t>个</w:t>
            </w:r>
            <w:proofErr w:type="gramEnd"/>
            <w:r w:rsidRPr="0093704B">
              <w:rPr>
                <w:b/>
                <w:bCs/>
                <w:color w:val="000000"/>
                <w:kern w:val="0"/>
                <w:szCs w:val="21"/>
              </w:rPr>
              <w:t>）</w:t>
            </w:r>
          </w:p>
        </w:tc>
        <w:tc>
          <w:tcPr>
            <w:tcW w:w="460" w:type="pct"/>
            <w:tcBorders>
              <w:top w:val="nil"/>
              <w:left w:val="nil"/>
              <w:bottom w:val="single" w:sz="4" w:space="0" w:color="auto"/>
              <w:right w:val="single" w:sz="4" w:space="0" w:color="auto"/>
            </w:tcBorders>
            <w:shd w:val="clear" w:color="auto" w:fill="auto"/>
            <w:vAlign w:val="center"/>
          </w:tcPr>
          <w:p w14:paraId="6577A49A"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金额</w:t>
            </w:r>
            <w:r w:rsidRPr="0093704B">
              <w:rPr>
                <w:b/>
                <w:bCs/>
                <w:color w:val="000000"/>
                <w:kern w:val="0"/>
                <w:szCs w:val="21"/>
              </w:rPr>
              <w:t>/</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tcPr>
          <w:p w14:paraId="39F292B8"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项目数量</w:t>
            </w:r>
            <w:r w:rsidRPr="0093704B">
              <w:rPr>
                <w:b/>
                <w:bCs/>
                <w:color w:val="000000"/>
                <w:kern w:val="0"/>
                <w:szCs w:val="21"/>
              </w:rPr>
              <w:t>/</w:t>
            </w:r>
            <w:proofErr w:type="gramStart"/>
            <w:r w:rsidRPr="0093704B">
              <w:rPr>
                <w:b/>
                <w:bCs/>
                <w:color w:val="000000"/>
                <w:kern w:val="0"/>
                <w:szCs w:val="21"/>
              </w:rPr>
              <w:t>个</w:t>
            </w:r>
            <w:proofErr w:type="gramEnd"/>
          </w:p>
        </w:tc>
        <w:tc>
          <w:tcPr>
            <w:tcW w:w="498" w:type="pct"/>
            <w:vMerge w:val="restart"/>
            <w:tcBorders>
              <w:top w:val="nil"/>
              <w:left w:val="single" w:sz="4" w:space="0" w:color="auto"/>
              <w:bottom w:val="single" w:sz="4" w:space="0" w:color="000000"/>
              <w:right w:val="single" w:sz="4" w:space="0" w:color="auto"/>
            </w:tcBorders>
            <w:shd w:val="clear" w:color="auto" w:fill="auto"/>
            <w:vAlign w:val="center"/>
          </w:tcPr>
          <w:p w14:paraId="29F37077"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项目平均价格（万元</w:t>
            </w:r>
            <w:r w:rsidRPr="0093704B">
              <w:rPr>
                <w:b/>
                <w:bCs/>
                <w:color w:val="000000"/>
                <w:kern w:val="0"/>
                <w:szCs w:val="21"/>
              </w:rPr>
              <w:t>/</w:t>
            </w:r>
            <w:proofErr w:type="gramStart"/>
            <w:r w:rsidRPr="0093704B">
              <w:rPr>
                <w:b/>
                <w:bCs/>
                <w:color w:val="000000"/>
                <w:kern w:val="0"/>
                <w:szCs w:val="21"/>
              </w:rPr>
              <w:t>个</w:t>
            </w:r>
            <w:proofErr w:type="gramEnd"/>
            <w:r w:rsidRPr="0093704B">
              <w:rPr>
                <w:b/>
                <w:bCs/>
                <w:color w:val="000000"/>
                <w:kern w:val="0"/>
                <w:szCs w:val="21"/>
              </w:rPr>
              <w:t>）</w:t>
            </w:r>
          </w:p>
        </w:tc>
      </w:tr>
      <w:tr w:rsidR="00637225" w:rsidRPr="0093704B" w14:paraId="74E05961" w14:textId="77777777" w:rsidTr="006013E0">
        <w:trPr>
          <w:trHeight w:val="465"/>
          <w:tblHeader/>
        </w:trPr>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589A5A" w14:textId="77777777" w:rsidR="00637225" w:rsidRPr="0093704B" w:rsidRDefault="00637225" w:rsidP="006013E0">
            <w:pPr>
              <w:widowControl/>
              <w:snapToGrid w:val="0"/>
              <w:spacing w:line="360" w:lineRule="auto"/>
              <w:jc w:val="left"/>
              <w:rPr>
                <w:b/>
                <w:bCs/>
                <w:color w:val="000000"/>
                <w:kern w:val="0"/>
                <w:szCs w:val="21"/>
              </w:rPr>
            </w:pPr>
          </w:p>
        </w:tc>
        <w:tc>
          <w:tcPr>
            <w:tcW w:w="532" w:type="pct"/>
            <w:tcBorders>
              <w:top w:val="nil"/>
              <w:left w:val="nil"/>
              <w:bottom w:val="single" w:sz="4" w:space="0" w:color="auto"/>
              <w:right w:val="single" w:sz="4" w:space="0" w:color="auto"/>
            </w:tcBorders>
            <w:shd w:val="clear" w:color="auto" w:fill="auto"/>
            <w:vAlign w:val="center"/>
          </w:tcPr>
          <w:p w14:paraId="51264456"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亿元</w:t>
            </w:r>
          </w:p>
        </w:tc>
        <w:tc>
          <w:tcPr>
            <w:tcW w:w="514" w:type="pct"/>
            <w:tcBorders>
              <w:top w:val="nil"/>
              <w:left w:val="nil"/>
              <w:bottom w:val="single" w:sz="4" w:space="0" w:color="auto"/>
              <w:right w:val="single" w:sz="4" w:space="0" w:color="auto"/>
            </w:tcBorders>
            <w:shd w:val="clear" w:color="auto" w:fill="auto"/>
            <w:vAlign w:val="center"/>
          </w:tcPr>
          <w:p w14:paraId="441888AF" w14:textId="77777777" w:rsidR="00637225" w:rsidRPr="0093704B" w:rsidRDefault="00286D31" w:rsidP="006013E0">
            <w:pPr>
              <w:widowControl/>
              <w:snapToGrid w:val="0"/>
              <w:spacing w:line="360" w:lineRule="auto"/>
              <w:jc w:val="center"/>
              <w:rPr>
                <w:b/>
                <w:bCs/>
                <w:color w:val="000000"/>
                <w:kern w:val="0"/>
                <w:szCs w:val="21"/>
              </w:rPr>
            </w:pPr>
            <w:proofErr w:type="gramStart"/>
            <w:r w:rsidRPr="0093704B">
              <w:rPr>
                <w:b/>
                <w:bCs/>
                <w:color w:val="000000"/>
                <w:kern w:val="0"/>
                <w:szCs w:val="21"/>
              </w:rPr>
              <w:t>个</w:t>
            </w:r>
            <w:proofErr w:type="gramEnd"/>
          </w:p>
        </w:tc>
        <w:tc>
          <w:tcPr>
            <w:tcW w:w="560" w:type="pct"/>
            <w:vMerge/>
            <w:tcBorders>
              <w:top w:val="nil"/>
              <w:left w:val="single" w:sz="4" w:space="0" w:color="auto"/>
              <w:bottom w:val="single" w:sz="4" w:space="0" w:color="auto"/>
              <w:right w:val="single" w:sz="4" w:space="0" w:color="auto"/>
            </w:tcBorders>
            <w:shd w:val="clear" w:color="auto" w:fill="auto"/>
            <w:vAlign w:val="center"/>
          </w:tcPr>
          <w:p w14:paraId="7C407B8F" w14:textId="77777777" w:rsidR="00637225" w:rsidRPr="0093704B" w:rsidRDefault="00637225" w:rsidP="006013E0">
            <w:pPr>
              <w:widowControl/>
              <w:snapToGrid w:val="0"/>
              <w:spacing w:line="360" w:lineRule="auto"/>
              <w:jc w:val="left"/>
              <w:rPr>
                <w:b/>
                <w:bCs/>
                <w:color w:val="000000"/>
                <w:kern w:val="0"/>
                <w:szCs w:val="21"/>
              </w:rPr>
            </w:pPr>
          </w:p>
        </w:tc>
        <w:tc>
          <w:tcPr>
            <w:tcW w:w="514" w:type="pct"/>
            <w:tcBorders>
              <w:top w:val="nil"/>
              <w:left w:val="nil"/>
              <w:bottom w:val="single" w:sz="4" w:space="0" w:color="auto"/>
              <w:right w:val="single" w:sz="4" w:space="0" w:color="auto"/>
            </w:tcBorders>
            <w:shd w:val="clear" w:color="auto" w:fill="auto"/>
            <w:vAlign w:val="center"/>
          </w:tcPr>
          <w:p w14:paraId="50D122EC"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亿元</w:t>
            </w:r>
          </w:p>
        </w:tc>
        <w:tc>
          <w:tcPr>
            <w:tcW w:w="460" w:type="pct"/>
            <w:vMerge/>
            <w:tcBorders>
              <w:top w:val="nil"/>
              <w:left w:val="single" w:sz="4" w:space="0" w:color="auto"/>
              <w:bottom w:val="single" w:sz="4" w:space="0" w:color="auto"/>
              <w:right w:val="single" w:sz="4" w:space="0" w:color="auto"/>
            </w:tcBorders>
            <w:shd w:val="clear" w:color="auto" w:fill="auto"/>
            <w:vAlign w:val="center"/>
          </w:tcPr>
          <w:p w14:paraId="023588E3" w14:textId="77777777" w:rsidR="00637225" w:rsidRPr="0093704B" w:rsidRDefault="00637225" w:rsidP="006013E0">
            <w:pPr>
              <w:widowControl/>
              <w:snapToGrid w:val="0"/>
              <w:spacing w:line="360" w:lineRule="auto"/>
              <w:jc w:val="left"/>
              <w:rPr>
                <w:b/>
                <w:bCs/>
                <w:color w:val="000000"/>
                <w:kern w:val="0"/>
                <w:szCs w:val="21"/>
              </w:rPr>
            </w:pPr>
          </w:p>
        </w:tc>
        <w:tc>
          <w:tcPr>
            <w:tcW w:w="497" w:type="pct"/>
            <w:vMerge/>
            <w:tcBorders>
              <w:top w:val="nil"/>
              <w:left w:val="single" w:sz="4" w:space="0" w:color="auto"/>
              <w:bottom w:val="single" w:sz="4" w:space="0" w:color="000000"/>
              <w:right w:val="single" w:sz="4" w:space="0" w:color="auto"/>
            </w:tcBorders>
            <w:shd w:val="clear" w:color="auto" w:fill="auto"/>
            <w:vAlign w:val="center"/>
          </w:tcPr>
          <w:p w14:paraId="5AD11513" w14:textId="77777777" w:rsidR="00637225" w:rsidRPr="0093704B" w:rsidRDefault="00637225" w:rsidP="006013E0">
            <w:pPr>
              <w:widowControl/>
              <w:snapToGrid w:val="0"/>
              <w:spacing w:line="360" w:lineRule="auto"/>
              <w:jc w:val="left"/>
              <w:rPr>
                <w:b/>
                <w:bCs/>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222264FB"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亿元</w:t>
            </w:r>
          </w:p>
        </w:tc>
        <w:tc>
          <w:tcPr>
            <w:tcW w:w="505" w:type="pct"/>
            <w:vMerge/>
            <w:tcBorders>
              <w:top w:val="nil"/>
              <w:left w:val="single" w:sz="4" w:space="0" w:color="auto"/>
              <w:bottom w:val="single" w:sz="4" w:space="0" w:color="auto"/>
              <w:right w:val="single" w:sz="4" w:space="0" w:color="auto"/>
            </w:tcBorders>
            <w:shd w:val="clear" w:color="auto" w:fill="auto"/>
            <w:vAlign w:val="center"/>
          </w:tcPr>
          <w:p w14:paraId="1C88AAF5" w14:textId="77777777" w:rsidR="00637225" w:rsidRPr="0093704B" w:rsidRDefault="00637225" w:rsidP="006013E0">
            <w:pPr>
              <w:widowControl/>
              <w:snapToGrid w:val="0"/>
              <w:spacing w:line="360" w:lineRule="auto"/>
              <w:jc w:val="left"/>
              <w:rPr>
                <w:b/>
                <w:bCs/>
                <w:color w:val="000000"/>
                <w:kern w:val="0"/>
                <w:szCs w:val="21"/>
              </w:rPr>
            </w:pPr>
          </w:p>
        </w:tc>
        <w:tc>
          <w:tcPr>
            <w:tcW w:w="498" w:type="pct"/>
            <w:vMerge/>
            <w:tcBorders>
              <w:top w:val="nil"/>
              <w:left w:val="single" w:sz="4" w:space="0" w:color="auto"/>
              <w:bottom w:val="single" w:sz="4" w:space="0" w:color="000000"/>
              <w:right w:val="single" w:sz="4" w:space="0" w:color="auto"/>
            </w:tcBorders>
            <w:shd w:val="clear" w:color="auto" w:fill="auto"/>
            <w:vAlign w:val="center"/>
          </w:tcPr>
          <w:p w14:paraId="42132E34" w14:textId="77777777" w:rsidR="00637225" w:rsidRPr="0093704B" w:rsidRDefault="00637225" w:rsidP="006013E0">
            <w:pPr>
              <w:widowControl/>
              <w:snapToGrid w:val="0"/>
              <w:spacing w:line="360" w:lineRule="auto"/>
              <w:jc w:val="left"/>
              <w:rPr>
                <w:color w:val="000000"/>
                <w:kern w:val="0"/>
                <w:szCs w:val="21"/>
              </w:rPr>
            </w:pPr>
          </w:p>
        </w:tc>
      </w:tr>
      <w:tr w:rsidR="00637225" w:rsidRPr="0093704B" w14:paraId="1569E9AC" w14:textId="77777777" w:rsidTr="006013E0">
        <w:trPr>
          <w:trHeight w:val="270"/>
        </w:trPr>
        <w:tc>
          <w:tcPr>
            <w:tcW w:w="460" w:type="pct"/>
            <w:tcBorders>
              <w:top w:val="nil"/>
              <w:left w:val="single" w:sz="4" w:space="0" w:color="auto"/>
              <w:bottom w:val="single" w:sz="4" w:space="0" w:color="auto"/>
              <w:right w:val="single" w:sz="4" w:space="0" w:color="auto"/>
            </w:tcBorders>
            <w:shd w:val="clear" w:color="auto" w:fill="auto"/>
            <w:vAlign w:val="center"/>
          </w:tcPr>
          <w:p w14:paraId="5DD1CBE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2017 </w:t>
            </w:r>
          </w:p>
        </w:tc>
        <w:tc>
          <w:tcPr>
            <w:tcW w:w="532" w:type="pct"/>
            <w:tcBorders>
              <w:top w:val="nil"/>
              <w:left w:val="nil"/>
              <w:bottom w:val="single" w:sz="4" w:space="0" w:color="auto"/>
              <w:right w:val="single" w:sz="4" w:space="0" w:color="auto"/>
            </w:tcBorders>
            <w:shd w:val="clear" w:color="auto" w:fill="auto"/>
            <w:vAlign w:val="center"/>
          </w:tcPr>
          <w:p w14:paraId="548966A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7.5</w:t>
            </w:r>
          </w:p>
        </w:tc>
        <w:tc>
          <w:tcPr>
            <w:tcW w:w="514" w:type="pct"/>
            <w:tcBorders>
              <w:top w:val="nil"/>
              <w:left w:val="nil"/>
              <w:bottom w:val="single" w:sz="4" w:space="0" w:color="auto"/>
              <w:right w:val="single" w:sz="4" w:space="0" w:color="auto"/>
            </w:tcBorders>
            <w:shd w:val="clear" w:color="auto" w:fill="auto"/>
            <w:vAlign w:val="center"/>
          </w:tcPr>
          <w:p w14:paraId="3634759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479</w:t>
            </w:r>
          </w:p>
        </w:tc>
        <w:tc>
          <w:tcPr>
            <w:tcW w:w="560" w:type="pct"/>
            <w:tcBorders>
              <w:top w:val="nil"/>
              <w:left w:val="nil"/>
              <w:bottom w:val="single" w:sz="4" w:space="0" w:color="auto"/>
              <w:right w:val="single" w:sz="4" w:space="0" w:color="auto"/>
            </w:tcBorders>
            <w:shd w:val="clear" w:color="auto" w:fill="auto"/>
            <w:vAlign w:val="center"/>
          </w:tcPr>
          <w:p w14:paraId="159079B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156.6 </w:t>
            </w:r>
          </w:p>
        </w:tc>
        <w:tc>
          <w:tcPr>
            <w:tcW w:w="514" w:type="pct"/>
            <w:tcBorders>
              <w:top w:val="nil"/>
              <w:left w:val="nil"/>
              <w:bottom w:val="single" w:sz="4" w:space="0" w:color="auto"/>
              <w:right w:val="single" w:sz="4" w:space="0" w:color="auto"/>
            </w:tcBorders>
            <w:shd w:val="clear" w:color="auto" w:fill="auto"/>
            <w:vAlign w:val="center"/>
          </w:tcPr>
          <w:p w14:paraId="629A93C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79.4</w:t>
            </w:r>
          </w:p>
        </w:tc>
        <w:tc>
          <w:tcPr>
            <w:tcW w:w="460" w:type="pct"/>
            <w:tcBorders>
              <w:top w:val="nil"/>
              <w:left w:val="nil"/>
              <w:bottom w:val="single" w:sz="4" w:space="0" w:color="auto"/>
              <w:right w:val="single" w:sz="4" w:space="0" w:color="auto"/>
            </w:tcBorders>
            <w:shd w:val="clear" w:color="auto" w:fill="auto"/>
            <w:vAlign w:val="center"/>
          </w:tcPr>
          <w:p w14:paraId="5F2551B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321</w:t>
            </w:r>
          </w:p>
        </w:tc>
        <w:tc>
          <w:tcPr>
            <w:tcW w:w="497" w:type="pct"/>
            <w:tcBorders>
              <w:top w:val="nil"/>
              <w:left w:val="nil"/>
              <w:bottom w:val="single" w:sz="4" w:space="0" w:color="auto"/>
              <w:right w:val="single" w:sz="4" w:space="0" w:color="auto"/>
            </w:tcBorders>
            <w:shd w:val="clear" w:color="auto" w:fill="auto"/>
            <w:vAlign w:val="center"/>
          </w:tcPr>
          <w:p w14:paraId="35BD2B2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2473.5 </w:t>
            </w:r>
          </w:p>
        </w:tc>
        <w:tc>
          <w:tcPr>
            <w:tcW w:w="460" w:type="pct"/>
            <w:tcBorders>
              <w:top w:val="nil"/>
              <w:left w:val="nil"/>
              <w:bottom w:val="single" w:sz="4" w:space="0" w:color="auto"/>
              <w:right w:val="single" w:sz="4" w:space="0" w:color="auto"/>
            </w:tcBorders>
            <w:shd w:val="clear" w:color="auto" w:fill="auto"/>
            <w:vAlign w:val="center"/>
          </w:tcPr>
          <w:p w14:paraId="352C73A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86.9</w:t>
            </w:r>
          </w:p>
        </w:tc>
        <w:tc>
          <w:tcPr>
            <w:tcW w:w="505" w:type="pct"/>
            <w:tcBorders>
              <w:top w:val="nil"/>
              <w:left w:val="nil"/>
              <w:bottom w:val="single" w:sz="4" w:space="0" w:color="auto"/>
              <w:right w:val="single" w:sz="4" w:space="0" w:color="auto"/>
            </w:tcBorders>
            <w:shd w:val="clear" w:color="auto" w:fill="auto"/>
            <w:vAlign w:val="center"/>
          </w:tcPr>
          <w:p w14:paraId="055E496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800</w:t>
            </w:r>
          </w:p>
        </w:tc>
        <w:tc>
          <w:tcPr>
            <w:tcW w:w="498" w:type="pct"/>
            <w:tcBorders>
              <w:top w:val="nil"/>
              <w:left w:val="nil"/>
              <w:bottom w:val="single" w:sz="4" w:space="0" w:color="auto"/>
              <w:right w:val="single" w:sz="4" w:space="0" w:color="auto"/>
            </w:tcBorders>
            <w:shd w:val="clear" w:color="auto" w:fill="auto"/>
            <w:vAlign w:val="center"/>
          </w:tcPr>
          <w:p w14:paraId="0D33C06E" w14:textId="77777777" w:rsidR="00637225" w:rsidRPr="0093704B" w:rsidRDefault="00286D31" w:rsidP="006013E0">
            <w:pPr>
              <w:widowControl/>
              <w:snapToGrid w:val="0"/>
              <w:spacing w:line="360" w:lineRule="auto"/>
              <w:jc w:val="right"/>
              <w:rPr>
                <w:color w:val="000000"/>
                <w:kern w:val="0"/>
                <w:szCs w:val="21"/>
              </w:rPr>
            </w:pPr>
            <w:r w:rsidRPr="0093704B">
              <w:rPr>
                <w:color w:val="000000"/>
                <w:kern w:val="0"/>
                <w:szCs w:val="21"/>
              </w:rPr>
              <w:t xml:space="preserve">1086.3 </w:t>
            </w:r>
          </w:p>
        </w:tc>
      </w:tr>
      <w:tr w:rsidR="00637225" w:rsidRPr="0093704B" w14:paraId="06205951" w14:textId="77777777" w:rsidTr="006013E0">
        <w:trPr>
          <w:trHeight w:val="270"/>
        </w:trPr>
        <w:tc>
          <w:tcPr>
            <w:tcW w:w="460" w:type="pct"/>
            <w:tcBorders>
              <w:top w:val="nil"/>
              <w:left w:val="single" w:sz="4" w:space="0" w:color="auto"/>
              <w:bottom w:val="single" w:sz="4" w:space="0" w:color="auto"/>
              <w:right w:val="single" w:sz="4" w:space="0" w:color="auto"/>
            </w:tcBorders>
            <w:shd w:val="clear" w:color="auto" w:fill="auto"/>
            <w:vAlign w:val="center"/>
          </w:tcPr>
          <w:p w14:paraId="1B361752"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2018 </w:t>
            </w:r>
          </w:p>
        </w:tc>
        <w:tc>
          <w:tcPr>
            <w:tcW w:w="532" w:type="pct"/>
            <w:tcBorders>
              <w:top w:val="nil"/>
              <w:left w:val="nil"/>
              <w:bottom w:val="single" w:sz="4" w:space="0" w:color="auto"/>
              <w:right w:val="single" w:sz="4" w:space="0" w:color="auto"/>
            </w:tcBorders>
            <w:shd w:val="clear" w:color="auto" w:fill="auto"/>
            <w:vAlign w:val="center"/>
          </w:tcPr>
          <w:p w14:paraId="0529623C"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18.2</w:t>
            </w:r>
          </w:p>
        </w:tc>
        <w:tc>
          <w:tcPr>
            <w:tcW w:w="514" w:type="pct"/>
            <w:tcBorders>
              <w:top w:val="nil"/>
              <w:left w:val="nil"/>
              <w:bottom w:val="single" w:sz="4" w:space="0" w:color="auto"/>
              <w:right w:val="single" w:sz="4" w:space="0" w:color="auto"/>
            </w:tcBorders>
            <w:shd w:val="clear" w:color="auto" w:fill="auto"/>
            <w:vAlign w:val="center"/>
          </w:tcPr>
          <w:p w14:paraId="1FAA492D"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1010</w:t>
            </w:r>
          </w:p>
        </w:tc>
        <w:tc>
          <w:tcPr>
            <w:tcW w:w="560" w:type="pct"/>
            <w:tcBorders>
              <w:top w:val="nil"/>
              <w:left w:val="nil"/>
              <w:bottom w:val="single" w:sz="4" w:space="0" w:color="auto"/>
              <w:right w:val="single" w:sz="4" w:space="0" w:color="auto"/>
            </w:tcBorders>
            <w:shd w:val="clear" w:color="auto" w:fill="auto"/>
            <w:vAlign w:val="center"/>
          </w:tcPr>
          <w:p w14:paraId="62C611B9"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180.2 </w:t>
            </w:r>
          </w:p>
        </w:tc>
        <w:tc>
          <w:tcPr>
            <w:tcW w:w="514" w:type="pct"/>
            <w:tcBorders>
              <w:top w:val="nil"/>
              <w:left w:val="nil"/>
              <w:bottom w:val="single" w:sz="4" w:space="0" w:color="auto"/>
              <w:right w:val="single" w:sz="4" w:space="0" w:color="auto"/>
            </w:tcBorders>
            <w:shd w:val="clear" w:color="auto" w:fill="auto"/>
            <w:vAlign w:val="center"/>
          </w:tcPr>
          <w:p w14:paraId="63A2BFE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123.4</w:t>
            </w:r>
          </w:p>
        </w:tc>
        <w:tc>
          <w:tcPr>
            <w:tcW w:w="460" w:type="pct"/>
            <w:tcBorders>
              <w:top w:val="nil"/>
              <w:left w:val="nil"/>
              <w:bottom w:val="single" w:sz="4" w:space="0" w:color="auto"/>
              <w:right w:val="single" w:sz="4" w:space="0" w:color="auto"/>
            </w:tcBorders>
            <w:shd w:val="clear" w:color="auto" w:fill="auto"/>
            <w:vAlign w:val="center"/>
          </w:tcPr>
          <w:p w14:paraId="75A89E49"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458</w:t>
            </w:r>
          </w:p>
        </w:tc>
        <w:tc>
          <w:tcPr>
            <w:tcW w:w="497" w:type="pct"/>
            <w:tcBorders>
              <w:top w:val="nil"/>
              <w:left w:val="nil"/>
              <w:bottom w:val="single" w:sz="4" w:space="0" w:color="auto"/>
              <w:right w:val="single" w:sz="4" w:space="0" w:color="auto"/>
            </w:tcBorders>
            <w:shd w:val="clear" w:color="auto" w:fill="auto"/>
            <w:vAlign w:val="center"/>
          </w:tcPr>
          <w:p w14:paraId="60CD5E83"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2694.3 </w:t>
            </w:r>
          </w:p>
        </w:tc>
        <w:tc>
          <w:tcPr>
            <w:tcW w:w="460" w:type="pct"/>
            <w:tcBorders>
              <w:top w:val="nil"/>
              <w:left w:val="nil"/>
              <w:bottom w:val="single" w:sz="4" w:space="0" w:color="auto"/>
              <w:right w:val="single" w:sz="4" w:space="0" w:color="auto"/>
            </w:tcBorders>
            <w:shd w:val="clear" w:color="auto" w:fill="auto"/>
            <w:vAlign w:val="center"/>
          </w:tcPr>
          <w:p w14:paraId="41AFBB8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141.6</w:t>
            </w:r>
          </w:p>
        </w:tc>
        <w:tc>
          <w:tcPr>
            <w:tcW w:w="505" w:type="pct"/>
            <w:tcBorders>
              <w:top w:val="nil"/>
              <w:left w:val="nil"/>
              <w:bottom w:val="single" w:sz="4" w:space="0" w:color="auto"/>
              <w:right w:val="single" w:sz="4" w:space="0" w:color="auto"/>
            </w:tcBorders>
            <w:shd w:val="clear" w:color="auto" w:fill="auto"/>
            <w:vAlign w:val="center"/>
          </w:tcPr>
          <w:p w14:paraId="0DB91DA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1468</w:t>
            </w:r>
          </w:p>
        </w:tc>
        <w:tc>
          <w:tcPr>
            <w:tcW w:w="498" w:type="pct"/>
            <w:tcBorders>
              <w:top w:val="nil"/>
              <w:left w:val="nil"/>
              <w:bottom w:val="single" w:sz="4" w:space="0" w:color="auto"/>
              <w:right w:val="single" w:sz="4" w:space="0" w:color="auto"/>
            </w:tcBorders>
            <w:shd w:val="clear" w:color="auto" w:fill="auto"/>
            <w:vAlign w:val="center"/>
          </w:tcPr>
          <w:p w14:paraId="11B27432" w14:textId="77777777" w:rsidR="00637225" w:rsidRPr="0093704B" w:rsidRDefault="00286D31" w:rsidP="006013E0">
            <w:pPr>
              <w:widowControl/>
              <w:snapToGrid w:val="0"/>
              <w:spacing w:line="360" w:lineRule="auto"/>
              <w:jc w:val="right"/>
              <w:rPr>
                <w:color w:val="000000"/>
                <w:kern w:val="0"/>
                <w:szCs w:val="21"/>
              </w:rPr>
            </w:pPr>
            <w:r w:rsidRPr="0093704B">
              <w:rPr>
                <w:color w:val="000000"/>
                <w:kern w:val="0"/>
                <w:szCs w:val="21"/>
              </w:rPr>
              <w:t xml:space="preserve">964.6 </w:t>
            </w:r>
          </w:p>
        </w:tc>
      </w:tr>
      <w:tr w:rsidR="00637225" w:rsidRPr="0093704B" w14:paraId="7ADA9F56" w14:textId="77777777" w:rsidTr="006013E0">
        <w:trPr>
          <w:trHeight w:val="270"/>
        </w:trPr>
        <w:tc>
          <w:tcPr>
            <w:tcW w:w="460" w:type="pct"/>
            <w:tcBorders>
              <w:top w:val="nil"/>
              <w:left w:val="single" w:sz="4" w:space="0" w:color="auto"/>
              <w:bottom w:val="single" w:sz="4" w:space="0" w:color="auto"/>
              <w:right w:val="single" w:sz="4" w:space="0" w:color="auto"/>
            </w:tcBorders>
            <w:shd w:val="clear" w:color="auto" w:fill="auto"/>
            <w:vAlign w:val="center"/>
          </w:tcPr>
          <w:p w14:paraId="220F1FE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2019 </w:t>
            </w:r>
          </w:p>
        </w:tc>
        <w:tc>
          <w:tcPr>
            <w:tcW w:w="532" w:type="pct"/>
            <w:tcBorders>
              <w:top w:val="nil"/>
              <w:left w:val="nil"/>
              <w:bottom w:val="single" w:sz="4" w:space="0" w:color="auto"/>
              <w:right w:val="single" w:sz="4" w:space="0" w:color="auto"/>
            </w:tcBorders>
            <w:shd w:val="clear" w:color="auto" w:fill="auto"/>
            <w:vAlign w:val="center"/>
          </w:tcPr>
          <w:p w14:paraId="39482348"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23.3</w:t>
            </w:r>
          </w:p>
        </w:tc>
        <w:tc>
          <w:tcPr>
            <w:tcW w:w="514" w:type="pct"/>
            <w:tcBorders>
              <w:top w:val="nil"/>
              <w:left w:val="nil"/>
              <w:bottom w:val="single" w:sz="4" w:space="0" w:color="auto"/>
              <w:right w:val="single" w:sz="4" w:space="0" w:color="auto"/>
            </w:tcBorders>
            <w:shd w:val="clear" w:color="auto" w:fill="auto"/>
            <w:vAlign w:val="center"/>
          </w:tcPr>
          <w:p w14:paraId="1F7E61B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1344</w:t>
            </w:r>
          </w:p>
        </w:tc>
        <w:tc>
          <w:tcPr>
            <w:tcW w:w="560" w:type="pct"/>
            <w:tcBorders>
              <w:top w:val="nil"/>
              <w:left w:val="nil"/>
              <w:bottom w:val="single" w:sz="4" w:space="0" w:color="auto"/>
              <w:right w:val="single" w:sz="4" w:space="0" w:color="auto"/>
            </w:tcBorders>
            <w:shd w:val="clear" w:color="auto" w:fill="auto"/>
            <w:vAlign w:val="center"/>
          </w:tcPr>
          <w:p w14:paraId="4E786EA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173.4 </w:t>
            </w:r>
          </w:p>
        </w:tc>
        <w:tc>
          <w:tcPr>
            <w:tcW w:w="514" w:type="pct"/>
            <w:tcBorders>
              <w:top w:val="nil"/>
              <w:left w:val="nil"/>
              <w:bottom w:val="single" w:sz="4" w:space="0" w:color="auto"/>
              <w:right w:val="single" w:sz="4" w:space="0" w:color="auto"/>
            </w:tcBorders>
            <w:shd w:val="clear" w:color="auto" w:fill="auto"/>
            <w:vAlign w:val="center"/>
          </w:tcPr>
          <w:p w14:paraId="7D3A7C3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95.1</w:t>
            </w:r>
          </w:p>
        </w:tc>
        <w:tc>
          <w:tcPr>
            <w:tcW w:w="460" w:type="pct"/>
            <w:tcBorders>
              <w:top w:val="nil"/>
              <w:left w:val="nil"/>
              <w:bottom w:val="single" w:sz="4" w:space="0" w:color="auto"/>
              <w:right w:val="single" w:sz="4" w:space="0" w:color="auto"/>
            </w:tcBorders>
            <w:shd w:val="clear" w:color="auto" w:fill="auto"/>
            <w:vAlign w:val="center"/>
          </w:tcPr>
          <w:p w14:paraId="47BD6CD4"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354</w:t>
            </w:r>
          </w:p>
        </w:tc>
        <w:tc>
          <w:tcPr>
            <w:tcW w:w="497" w:type="pct"/>
            <w:tcBorders>
              <w:top w:val="nil"/>
              <w:left w:val="nil"/>
              <w:bottom w:val="single" w:sz="4" w:space="0" w:color="auto"/>
              <w:right w:val="single" w:sz="4" w:space="0" w:color="auto"/>
            </w:tcBorders>
            <w:shd w:val="clear" w:color="auto" w:fill="auto"/>
            <w:vAlign w:val="center"/>
          </w:tcPr>
          <w:p w14:paraId="4904E93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2686.4 </w:t>
            </w:r>
          </w:p>
        </w:tc>
        <w:tc>
          <w:tcPr>
            <w:tcW w:w="460" w:type="pct"/>
            <w:tcBorders>
              <w:top w:val="nil"/>
              <w:left w:val="nil"/>
              <w:bottom w:val="single" w:sz="4" w:space="0" w:color="auto"/>
              <w:right w:val="single" w:sz="4" w:space="0" w:color="auto"/>
            </w:tcBorders>
            <w:shd w:val="clear" w:color="auto" w:fill="auto"/>
            <w:vAlign w:val="center"/>
          </w:tcPr>
          <w:p w14:paraId="5C74BC66"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118.4</w:t>
            </w:r>
          </w:p>
        </w:tc>
        <w:tc>
          <w:tcPr>
            <w:tcW w:w="505" w:type="pct"/>
            <w:tcBorders>
              <w:top w:val="nil"/>
              <w:left w:val="nil"/>
              <w:bottom w:val="single" w:sz="4" w:space="0" w:color="auto"/>
              <w:right w:val="single" w:sz="4" w:space="0" w:color="auto"/>
            </w:tcBorders>
            <w:shd w:val="clear" w:color="auto" w:fill="auto"/>
            <w:vAlign w:val="center"/>
          </w:tcPr>
          <w:p w14:paraId="056C7CD6"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1698</w:t>
            </w:r>
          </w:p>
        </w:tc>
        <w:tc>
          <w:tcPr>
            <w:tcW w:w="498" w:type="pct"/>
            <w:tcBorders>
              <w:top w:val="nil"/>
              <w:left w:val="nil"/>
              <w:bottom w:val="single" w:sz="4" w:space="0" w:color="auto"/>
              <w:right w:val="single" w:sz="4" w:space="0" w:color="auto"/>
            </w:tcBorders>
            <w:shd w:val="clear" w:color="auto" w:fill="auto"/>
            <w:vAlign w:val="center"/>
          </w:tcPr>
          <w:p w14:paraId="2DFDC0CF" w14:textId="77777777" w:rsidR="00637225" w:rsidRPr="0093704B" w:rsidRDefault="00286D31" w:rsidP="006013E0">
            <w:pPr>
              <w:widowControl/>
              <w:snapToGrid w:val="0"/>
              <w:spacing w:line="360" w:lineRule="auto"/>
              <w:jc w:val="right"/>
              <w:rPr>
                <w:color w:val="000000"/>
                <w:kern w:val="0"/>
                <w:szCs w:val="21"/>
              </w:rPr>
            </w:pPr>
            <w:r w:rsidRPr="0093704B">
              <w:rPr>
                <w:color w:val="000000"/>
                <w:kern w:val="0"/>
                <w:szCs w:val="21"/>
              </w:rPr>
              <w:t xml:space="preserve">697.3 </w:t>
            </w:r>
          </w:p>
        </w:tc>
      </w:tr>
      <w:tr w:rsidR="00637225" w:rsidRPr="0093704B" w14:paraId="23B68342" w14:textId="77777777" w:rsidTr="006013E0">
        <w:trPr>
          <w:trHeight w:val="270"/>
        </w:trPr>
        <w:tc>
          <w:tcPr>
            <w:tcW w:w="460" w:type="pct"/>
            <w:tcBorders>
              <w:top w:val="nil"/>
              <w:left w:val="single" w:sz="4" w:space="0" w:color="auto"/>
              <w:bottom w:val="single" w:sz="4" w:space="0" w:color="auto"/>
              <w:right w:val="single" w:sz="4" w:space="0" w:color="auto"/>
            </w:tcBorders>
            <w:shd w:val="clear" w:color="auto" w:fill="auto"/>
            <w:vAlign w:val="center"/>
          </w:tcPr>
          <w:p w14:paraId="301F93C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lastRenderedPageBreak/>
              <w:t xml:space="preserve">2020 </w:t>
            </w:r>
          </w:p>
        </w:tc>
        <w:tc>
          <w:tcPr>
            <w:tcW w:w="532" w:type="pct"/>
            <w:tcBorders>
              <w:top w:val="nil"/>
              <w:left w:val="nil"/>
              <w:bottom w:val="single" w:sz="4" w:space="0" w:color="auto"/>
              <w:right w:val="single" w:sz="4" w:space="0" w:color="auto"/>
            </w:tcBorders>
            <w:shd w:val="clear" w:color="auto" w:fill="auto"/>
            <w:vAlign w:val="center"/>
          </w:tcPr>
          <w:p w14:paraId="46757570"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39.8</w:t>
            </w:r>
          </w:p>
        </w:tc>
        <w:tc>
          <w:tcPr>
            <w:tcW w:w="514" w:type="pct"/>
            <w:tcBorders>
              <w:top w:val="nil"/>
              <w:left w:val="nil"/>
              <w:bottom w:val="single" w:sz="4" w:space="0" w:color="auto"/>
              <w:right w:val="single" w:sz="4" w:space="0" w:color="auto"/>
            </w:tcBorders>
            <w:shd w:val="clear" w:color="auto" w:fill="auto"/>
            <w:vAlign w:val="center"/>
          </w:tcPr>
          <w:p w14:paraId="2327275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2853</w:t>
            </w:r>
          </w:p>
        </w:tc>
        <w:tc>
          <w:tcPr>
            <w:tcW w:w="560" w:type="pct"/>
            <w:tcBorders>
              <w:top w:val="nil"/>
              <w:left w:val="nil"/>
              <w:bottom w:val="single" w:sz="4" w:space="0" w:color="auto"/>
              <w:right w:val="single" w:sz="4" w:space="0" w:color="auto"/>
            </w:tcBorders>
            <w:shd w:val="clear" w:color="auto" w:fill="auto"/>
            <w:vAlign w:val="center"/>
          </w:tcPr>
          <w:p w14:paraId="301D5D1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139.5 </w:t>
            </w:r>
          </w:p>
        </w:tc>
        <w:tc>
          <w:tcPr>
            <w:tcW w:w="514" w:type="pct"/>
            <w:tcBorders>
              <w:top w:val="nil"/>
              <w:left w:val="nil"/>
              <w:bottom w:val="single" w:sz="4" w:space="0" w:color="auto"/>
              <w:right w:val="single" w:sz="4" w:space="0" w:color="auto"/>
            </w:tcBorders>
            <w:shd w:val="clear" w:color="auto" w:fill="auto"/>
            <w:vAlign w:val="center"/>
          </w:tcPr>
          <w:p w14:paraId="718A354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103</w:t>
            </w:r>
          </w:p>
        </w:tc>
        <w:tc>
          <w:tcPr>
            <w:tcW w:w="460" w:type="pct"/>
            <w:tcBorders>
              <w:top w:val="nil"/>
              <w:left w:val="nil"/>
              <w:bottom w:val="single" w:sz="4" w:space="0" w:color="auto"/>
              <w:right w:val="single" w:sz="4" w:space="0" w:color="auto"/>
            </w:tcBorders>
            <w:shd w:val="clear" w:color="auto" w:fill="auto"/>
            <w:vAlign w:val="center"/>
          </w:tcPr>
          <w:p w14:paraId="5E2B5F94"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668</w:t>
            </w:r>
          </w:p>
        </w:tc>
        <w:tc>
          <w:tcPr>
            <w:tcW w:w="497" w:type="pct"/>
            <w:tcBorders>
              <w:top w:val="nil"/>
              <w:left w:val="nil"/>
              <w:bottom w:val="single" w:sz="4" w:space="0" w:color="auto"/>
              <w:right w:val="single" w:sz="4" w:space="0" w:color="auto"/>
            </w:tcBorders>
            <w:shd w:val="clear" w:color="auto" w:fill="auto"/>
            <w:vAlign w:val="center"/>
          </w:tcPr>
          <w:p w14:paraId="40FE88C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1541.9 </w:t>
            </w:r>
          </w:p>
        </w:tc>
        <w:tc>
          <w:tcPr>
            <w:tcW w:w="460" w:type="pct"/>
            <w:tcBorders>
              <w:top w:val="nil"/>
              <w:left w:val="nil"/>
              <w:bottom w:val="single" w:sz="4" w:space="0" w:color="auto"/>
              <w:right w:val="single" w:sz="4" w:space="0" w:color="auto"/>
            </w:tcBorders>
            <w:shd w:val="clear" w:color="auto" w:fill="auto"/>
            <w:vAlign w:val="center"/>
          </w:tcPr>
          <w:p w14:paraId="7FD3311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142.7</w:t>
            </w:r>
          </w:p>
        </w:tc>
        <w:tc>
          <w:tcPr>
            <w:tcW w:w="505" w:type="pct"/>
            <w:tcBorders>
              <w:top w:val="nil"/>
              <w:left w:val="nil"/>
              <w:bottom w:val="single" w:sz="4" w:space="0" w:color="auto"/>
              <w:right w:val="single" w:sz="4" w:space="0" w:color="auto"/>
            </w:tcBorders>
            <w:shd w:val="clear" w:color="auto" w:fill="auto"/>
            <w:vAlign w:val="center"/>
          </w:tcPr>
          <w:p w14:paraId="640EE232"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3521</w:t>
            </w:r>
          </w:p>
        </w:tc>
        <w:tc>
          <w:tcPr>
            <w:tcW w:w="498" w:type="pct"/>
            <w:tcBorders>
              <w:top w:val="nil"/>
              <w:left w:val="nil"/>
              <w:bottom w:val="single" w:sz="4" w:space="0" w:color="auto"/>
              <w:right w:val="single" w:sz="4" w:space="0" w:color="auto"/>
            </w:tcBorders>
            <w:shd w:val="clear" w:color="auto" w:fill="auto"/>
            <w:vAlign w:val="center"/>
          </w:tcPr>
          <w:p w14:paraId="2A0883D6" w14:textId="77777777" w:rsidR="00637225" w:rsidRPr="0093704B" w:rsidRDefault="00286D31" w:rsidP="006013E0">
            <w:pPr>
              <w:widowControl/>
              <w:snapToGrid w:val="0"/>
              <w:spacing w:line="360" w:lineRule="auto"/>
              <w:jc w:val="right"/>
              <w:rPr>
                <w:color w:val="000000"/>
                <w:kern w:val="0"/>
                <w:szCs w:val="21"/>
              </w:rPr>
            </w:pPr>
            <w:r w:rsidRPr="0093704B">
              <w:rPr>
                <w:color w:val="000000"/>
                <w:kern w:val="0"/>
                <w:szCs w:val="21"/>
              </w:rPr>
              <w:t xml:space="preserve">405.3 </w:t>
            </w:r>
          </w:p>
        </w:tc>
      </w:tr>
      <w:tr w:rsidR="00637225" w:rsidRPr="0093704B" w14:paraId="39C78DE4" w14:textId="77777777" w:rsidTr="006013E0">
        <w:trPr>
          <w:trHeight w:val="270"/>
        </w:trPr>
        <w:tc>
          <w:tcPr>
            <w:tcW w:w="460" w:type="pct"/>
            <w:tcBorders>
              <w:top w:val="nil"/>
              <w:left w:val="single" w:sz="4" w:space="0" w:color="auto"/>
              <w:bottom w:val="single" w:sz="4" w:space="0" w:color="auto"/>
              <w:right w:val="single" w:sz="4" w:space="0" w:color="auto"/>
            </w:tcBorders>
            <w:shd w:val="clear" w:color="auto" w:fill="auto"/>
            <w:vAlign w:val="center"/>
          </w:tcPr>
          <w:p w14:paraId="2BD63EA3"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2021 </w:t>
            </w:r>
          </w:p>
        </w:tc>
        <w:tc>
          <w:tcPr>
            <w:tcW w:w="532" w:type="pct"/>
            <w:tcBorders>
              <w:top w:val="nil"/>
              <w:left w:val="nil"/>
              <w:bottom w:val="single" w:sz="4" w:space="0" w:color="auto"/>
              <w:right w:val="single" w:sz="4" w:space="0" w:color="auto"/>
            </w:tcBorders>
            <w:shd w:val="clear" w:color="auto" w:fill="auto"/>
            <w:vAlign w:val="center"/>
          </w:tcPr>
          <w:p w14:paraId="552DCDE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35.3</w:t>
            </w:r>
          </w:p>
        </w:tc>
        <w:tc>
          <w:tcPr>
            <w:tcW w:w="514" w:type="pct"/>
            <w:tcBorders>
              <w:top w:val="nil"/>
              <w:left w:val="nil"/>
              <w:bottom w:val="single" w:sz="4" w:space="0" w:color="auto"/>
              <w:right w:val="single" w:sz="4" w:space="0" w:color="auto"/>
            </w:tcBorders>
            <w:shd w:val="clear" w:color="auto" w:fill="auto"/>
            <w:vAlign w:val="center"/>
          </w:tcPr>
          <w:p w14:paraId="5940025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3123</w:t>
            </w:r>
          </w:p>
        </w:tc>
        <w:tc>
          <w:tcPr>
            <w:tcW w:w="560" w:type="pct"/>
            <w:tcBorders>
              <w:top w:val="nil"/>
              <w:left w:val="nil"/>
              <w:bottom w:val="single" w:sz="4" w:space="0" w:color="auto"/>
              <w:right w:val="single" w:sz="4" w:space="0" w:color="auto"/>
            </w:tcBorders>
            <w:shd w:val="clear" w:color="auto" w:fill="auto"/>
            <w:vAlign w:val="center"/>
          </w:tcPr>
          <w:p w14:paraId="07A66FA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113.0 </w:t>
            </w:r>
          </w:p>
        </w:tc>
        <w:tc>
          <w:tcPr>
            <w:tcW w:w="514" w:type="pct"/>
            <w:tcBorders>
              <w:top w:val="nil"/>
              <w:left w:val="nil"/>
              <w:bottom w:val="single" w:sz="4" w:space="0" w:color="auto"/>
              <w:right w:val="single" w:sz="4" w:space="0" w:color="auto"/>
            </w:tcBorders>
            <w:shd w:val="clear" w:color="auto" w:fill="auto"/>
            <w:vAlign w:val="center"/>
          </w:tcPr>
          <w:p w14:paraId="17169F1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121.6</w:t>
            </w:r>
          </w:p>
        </w:tc>
        <w:tc>
          <w:tcPr>
            <w:tcW w:w="460" w:type="pct"/>
            <w:tcBorders>
              <w:top w:val="nil"/>
              <w:left w:val="nil"/>
              <w:bottom w:val="single" w:sz="4" w:space="0" w:color="auto"/>
              <w:right w:val="single" w:sz="4" w:space="0" w:color="auto"/>
            </w:tcBorders>
            <w:shd w:val="clear" w:color="auto" w:fill="auto"/>
            <w:vAlign w:val="center"/>
          </w:tcPr>
          <w:p w14:paraId="59E29A2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503</w:t>
            </w:r>
          </w:p>
        </w:tc>
        <w:tc>
          <w:tcPr>
            <w:tcW w:w="497" w:type="pct"/>
            <w:tcBorders>
              <w:top w:val="nil"/>
              <w:left w:val="nil"/>
              <w:bottom w:val="single" w:sz="4" w:space="0" w:color="auto"/>
              <w:right w:val="single" w:sz="4" w:space="0" w:color="auto"/>
            </w:tcBorders>
            <w:shd w:val="clear" w:color="auto" w:fill="auto"/>
            <w:vAlign w:val="center"/>
          </w:tcPr>
          <w:p w14:paraId="6541F2E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 xml:space="preserve">2417.5 </w:t>
            </w:r>
          </w:p>
        </w:tc>
        <w:tc>
          <w:tcPr>
            <w:tcW w:w="460" w:type="pct"/>
            <w:tcBorders>
              <w:top w:val="nil"/>
              <w:left w:val="nil"/>
              <w:bottom w:val="single" w:sz="4" w:space="0" w:color="auto"/>
              <w:right w:val="single" w:sz="4" w:space="0" w:color="auto"/>
            </w:tcBorders>
            <w:shd w:val="clear" w:color="auto" w:fill="auto"/>
            <w:vAlign w:val="center"/>
          </w:tcPr>
          <w:p w14:paraId="2E11B050"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156.8</w:t>
            </w:r>
          </w:p>
        </w:tc>
        <w:tc>
          <w:tcPr>
            <w:tcW w:w="505" w:type="pct"/>
            <w:tcBorders>
              <w:top w:val="nil"/>
              <w:left w:val="nil"/>
              <w:bottom w:val="single" w:sz="4" w:space="0" w:color="auto"/>
              <w:right w:val="single" w:sz="4" w:space="0" w:color="auto"/>
            </w:tcBorders>
            <w:shd w:val="clear" w:color="auto" w:fill="auto"/>
            <w:vAlign w:val="center"/>
          </w:tcPr>
          <w:p w14:paraId="77A5BFB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3626</w:t>
            </w:r>
          </w:p>
        </w:tc>
        <w:tc>
          <w:tcPr>
            <w:tcW w:w="498" w:type="pct"/>
            <w:tcBorders>
              <w:top w:val="nil"/>
              <w:left w:val="nil"/>
              <w:bottom w:val="single" w:sz="4" w:space="0" w:color="auto"/>
              <w:right w:val="single" w:sz="4" w:space="0" w:color="auto"/>
            </w:tcBorders>
            <w:shd w:val="clear" w:color="auto" w:fill="auto"/>
            <w:vAlign w:val="center"/>
          </w:tcPr>
          <w:p w14:paraId="2CB86A02" w14:textId="77777777" w:rsidR="00637225" w:rsidRPr="0093704B" w:rsidRDefault="00286D31" w:rsidP="006013E0">
            <w:pPr>
              <w:widowControl/>
              <w:snapToGrid w:val="0"/>
              <w:spacing w:line="360" w:lineRule="auto"/>
              <w:jc w:val="right"/>
              <w:rPr>
                <w:color w:val="000000"/>
                <w:kern w:val="0"/>
                <w:szCs w:val="21"/>
              </w:rPr>
            </w:pPr>
            <w:r w:rsidRPr="0093704B">
              <w:rPr>
                <w:color w:val="000000"/>
                <w:kern w:val="0"/>
                <w:szCs w:val="21"/>
              </w:rPr>
              <w:t xml:space="preserve">432.4 </w:t>
            </w:r>
          </w:p>
        </w:tc>
      </w:tr>
    </w:tbl>
    <w:p w14:paraId="379B4263" w14:textId="77777777" w:rsidR="00637225" w:rsidRDefault="00637225" w:rsidP="006013E0">
      <w:pPr>
        <w:snapToGrid w:val="0"/>
        <w:spacing w:line="360" w:lineRule="auto"/>
        <w:jc w:val="center"/>
        <w:rPr>
          <w:rFonts w:asciiTheme="minorEastAsia" w:eastAsiaTheme="minorEastAsia" w:hAnsiTheme="minorEastAsia"/>
          <w:b/>
          <w:bCs/>
        </w:rPr>
      </w:pPr>
    </w:p>
    <w:p w14:paraId="5A4EB2A5" w14:textId="77777777" w:rsidR="00637225" w:rsidRDefault="00286D31" w:rsidP="006013E0">
      <w:pPr>
        <w:snapToGrid w:val="0"/>
        <w:spacing w:line="360" w:lineRule="auto"/>
        <w:jc w:val="center"/>
        <w:rPr>
          <w:rFonts w:asciiTheme="minorEastAsia" w:eastAsiaTheme="minorEastAsia" w:hAnsiTheme="minorEastAsia"/>
          <w:highlight w:val="yellow"/>
        </w:rPr>
      </w:pPr>
      <w:r>
        <w:rPr>
          <w:noProof/>
        </w:rPr>
        <w:drawing>
          <wp:inline distT="0" distB="0" distL="0" distR="0" wp14:anchorId="4FF1C987" wp14:editId="09CD1158">
            <wp:extent cx="4787900" cy="3193642"/>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790819" cy="3195589"/>
                    </a:xfrm>
                    <a:prstGeom prst="rect">
                      <a:avLst/>
                    </a:prstGeom>
                  </pic:spPr>
                </pic:pic>
              </a:graphicData>
            </a:graphic>
          </wp:inline>
        </w:drawing>
      </w:r>
    </w:p>
    <w:p w14:paraId="18284640" w14:textId="77777777" w:rsidR="00637225" w:rsidRDefault="00286D31" w:rsidP="006013E0">
      <w:pPr>
        <w:snapToGrid w:val="0"/>
        <w:spacing w:line="360" w:lineRule="auto"/>
        <w:jc w:val="center"/>
        <w:rPr>
          <w:rFonts w:ascii="楷体" w:eastAsia="楷体" w:hAnsi="楷体"/>
          <w:b/>
          <w:bCs/>
        </w:rPr>
      </w:pPr>
      <w:r>
        <w:rPr>
          <w:rFonts w:ascii="楷体" w:eastAsia="楷体" w:hAnsi="楷体" w:hint="eastAsia"/>
          <w:b/>
          <w:bCs/>
        </w:rPr>
        <w:t>图1-1  2017-202</w:t>
      </w:r>
      <w:r>
        <w:rPr>
          <w:rFonts w:ascii="楷体" w:eastAsia="楷体" w:hAnsi="楷体"/>
          <w:b/>
          <w:bCs/>
        </w:rPr>
        <w:t>1</w:t>
      </w:r>
      <w:r>
        <w:rPr>
          <w:rFonts w:ascii="楷体" w:eastAsia="楷体" w:hAnsi="楷体" w:hint="eastAsia"/>
          <w:b/>
          <w:bCs/>
        </w:rPr>
        <w:t>年修复行业市场总体状况对比</w:t>
      </w:r>
    </w:p>
    <w:bookmarkEnd w:id="1"/>
    <w:p w14:paraId="5C1BC4B6" w14:textId="3F2F2DB2" w:rsidR="00637225" w:rsidRPr="002249DB" w:rsidRDefault="002249DB" w:rsidP="002249DB">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r w:rsidRPr="002249DB">
        <w:rPr>
          <w:rFonts w:eastAsia="黑体" w:hint="eastAsia"/>
          <w:color w:val="000000" w:themeColor="text1"/>
        </w:rPr>
        <w:t>1</w:t>
      </w:r>
      <w:r w:rsidRPr="002249DB">
        <w:rPr>
          <w:rFonts w:eastAsia="黑体"/>
          <w:color w:val="000000" w:themeColor="text1"/>
        </w:rPr>
        <w:t>.2</w:t>
      </w:r>
      <w:r w:rsidR="00286D31" w:rsidRPr="002249DB">
        <w:rPr>
          <w:rFonts w:eastAsia="黑体" w:hint="eastAsia"/>
          <w:color w:val="000000" w:themeColor="text1"/>
        </w:rPr>
        <w:t>各省（区、市）市场规模</w:t>
      </w:r>
    </w:p>
    <w:p w14:paraId="3056748D"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w:t>
      </w:r>
      <w:r>
        <w:rPr>
          <w:rFonts w:asciiTheme="minorEastAsia" w:eastAsiaTheme="minorEastAsia" w:hAnsiTheme="minorEastAsia"/>
          <w:sz w:val="24"/>
        </w:rPr>
        <w:t>1</w:t>
      </w:r>
      <w:r>
        <w:rPr>
          <w:rFonts w:asciiTheme="minorEastAsia" w:eastAsiaTheme="minorEastAsia" w:hAnsiTheme="minorEastAsia" w:hint="eastAsia"/>
          <w:sz w:val="24"/>
        </w:rPr>
        <w:t>年国共有3</w:t>
      </w:r>
      <w:r>
        <w:rPr>
          <w:rFonts w:asciiTheme="minorEastAsia" w:eastAsiaTheme="minorEastAsia" w:hAnsiTheme="minorEastAsia"/>
          <w:sz w:val="24"/>
        </w:rPr>
        <w:t>1</w:t>
      </w:r>
      <w:r>
        <w:rPr>
          <w:rFonts w:asciiTheme="minorEastAsia" w:eastAsiaTheme="minorEastAsia" w:hAnsiTheme="minorEastAsia" w:hint="eastAsia"/>
          <w:sz w:val="24"/>
        </w:rPr>
        <w:t>个省（区、市）启动土壤和地下水修复产业项目。202</w:t>
      </w:r>
      <w:r>
        <w:rPr>
          <w:rFonts w:asciiTheme="minorEastAsia" w:eastAsiaTheme="minorEastAsia" w:hAnsiTheme="minorEastAsia"/>
          <w:sz w:val="24"/>
        </w:rPr>
        <w:t>1</w:t>
      </w:r>
      <w:r>
        <w:rPr>
          <w:rFonts w:asciiTheme="minorEastAsia" w:eastAsiaTheme="minorEastAsia" w:hAnsiTheme="minorEastAsia" w:hint="eastAsia"/>
          <w:sz w:val="24"/>
        </w:rPr>
        <w:t>年各省（区、市）土壤修复项目数量和投资金额对比分析如图</w:t>
      </w:r>
      <w:r>
        <w:rPr>
          <w:rFonts w:asciiTheme="minorEastAsia" w:eastAsiaTheme="minorEastAsia" w:hAnsiTheme="minorEastAsia"/>
          <w:sz w:val="24"/>
        </w:rPr>
        <w:t>1</w:t>
      </w:r>
      <w:r>
        <w:rPr>
          <w:rFonts w:asciiTheme="minorEastAsia" w:eastAsiaTheme="minorEastAsia" w:hAnsiTheme="minorEastAsia" w:hint="eastAsia"/>
          <w:sz w:val="24"/>
        </w:rPr>
        <w:t>-2所示。</w:t>
      </w:r>
    </w:p>
    <w:p w14:paraId="7FC2176A"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从项目金额来看，202</w:t>
      </w:r>
      <w:r>
        <w:rPr>
          <w:rFonts w:asciiTheme="minorEastAsia" w:eastAsiaTheme="minorEastAsia" w:hAnsiTheme="minorEastAsia"/>
          <w:sz w:val="24"/>
        </w:rPr>
        <w:t>1</w:t>
      </w:r>
      <w:r>
        <w:rPr>
          <w:rFonts w:asciiTheme="minorEastAsia" w:eastAsiaTheme="minorEastAsia" w:hAnsiTheme="minorEastAsia" w:hint="eastAsia"/>
          <w:sz w:val="24"/>
        </w:rPr>
        <w:t>年重庆市公开招投标的项目金额最高，高达</w:t>
      </w:r>
      <w:r>
        <w:rPr>
          <w:rFonts w:asciiTheme="minorEastAsia" w:eastAsiaTheme="minorEastAsia" w:hAnsiTheme="minorEastAsia"/>
          <w:sz w:val="24"/>
        </w:rPr>
        <w:t>2</w:t>
      </w:r>
      <w:r>
        <w:rPr>
          <w:rFonts w:asciiTheme="minorEastAsia" w:eastAsiaTheme="minorEastAsia" w:hAnsiTheme="minorEastAsia" w:hint="eastAsia"/>
          <w:sz w:val="24"/>
        </w:rPr>
        <w:t>4.</w:t>
      </w:r>
      <w:r>
        <w:rPr>
          <w:rFonts w:asciiTheme="minorEastAsia" w:eastAsiaTheme="minorEastAsia" w:hAnsiTheme="minorEastAsia"/>
          <w:sz w:val="24"/>
        </w:rPr>
        <w:t>93</w:t>
      </w:r>
      <w:r>
        <w:rPr>
          <w:rFonts w:asciiTheme="minorEastAsia" w:eastAsiaTheme="minorEastAsia" w:hAnsiTheme="minorEastAsia" w:hint="eastAsia"/>
          <w:sz w:val="24"/>
        </w:rPr>
        <w:t>亿元，排在前2-5名的江苏、浙江、广东、山东等省的项目金额在1</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亿-1</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26</w:t>
      </w:r>
      <w:r>
        <w:rPr>
          <w:rFonts w:asciiTheme="minorEastAsia" w:eastAsiaTheme="minorEastAsia" w:hAnsiTheme="minorEastAsia" w:hint="eastAsia"/>
          <w:sz w:val="24"/>
        </w:rPr>
        <w:t>亿元之间，排在6-15名的安徽、湖南、天津、湖北、云南、四川、江西、北京、上海、河北等省（区、市）的项目金额在</w:t>
      </w:r>
      <w:r>
        <w:rPr>
          <w:rFonts w:asciiTheme="minorEastAsia" w:eastAsiaTheme="minorEastAsia" w:hAnsiTheme="minorEastAsia"/>
          <w:sz w:val="24"/>
        </w:rPr>
        <w:t>3.22</w:t>
      </w:r>
      <w:r>
        <w:rPr>
          <w:rFonts w:asciiTheme="minorEastAsia" w:eastAsiaTheme="minorEastAsia" w:hAnsiTheme="minorEastAsia" w:hint="eastAsia"/>
          <w:sz w:val="24"/>
        </w:rPr>
        <w:t>亿-</w:t>
      </w:r>
      <w:r>
        <w:rPr>
          <w:rFonts w:asciiTheme="minorEastAsia" w:eastAsiaTheme="minorEastAsia" w:hAnsiTheme="minorEastAsia"/>
          <w:sz w:val="24"/>
        </w:rPr>
        <w:t>9.77</w:t>
      </w:r>
      <w:r>
        <w:rPr>
          <w:rFonts w:asciiTheme="minorEastAsia" w:eastAsiaTheme="minorEastAsia" w:hAnsiTheme="minorEastAsia" w:hint="eastAsia"/>
          <w:sz w:val="24"/>
        </w:rPr>
        <w:t>亿之间。宁夏和西藏启动项目金额分别为200万元和1000万元。</w:t>
      </w:r>
    </w:p>
    <w:p w14:paraId="468DA983"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从项目数量来看，202</w:t>
      </w:r>
      <w:r>
        <w:rPr>
          <w:rFonts w:asciiTheme="minorEastAsia" w:eastAsiaTheme="minorEastAsia" w:hAnsiTheme="minorEastAsia"/>
          <w:sz w:val="24"/>
        </w:rPr>
        <w:t>1</w:t>
      </w:r>
      <w:r>
        <w:rPr>
          <w:rFonts w:asciiTheme="minorEastAsia" w:eastAsiaTheme="minorEastAsia" w:hAnsiTheme="minorEastAsia" w:hint="eastAsia"/>
          <w:sz w:val="24"/>
        </w:rPr>
        <w:t>年广东省公开招投标的项目数量最多，达到</w:t>
      </w:r>
      <w:r>
        <w:rPr>
          <w:rFonts w:asciiTheme="minorEastAsia" w:eastAsiaTheme="minorEastAsia" w:hAnsiTheme="minorEastAsia"/>
          <w:sz w:val="24"/>
        </w:rPr>
        <w:t>509</w:t>
      </w:r>
      <w:r>
        <w:rPr>
          <w:rFonts w:asciiTheme="minorEastAsia" w:eastAsiaTheme="minorEastAsia" w:hAnsiTheme="minorEastAsia" w:hint="eastAsia"/>
          <w:sz w:val="24"/>
        </w:rPr>
        <w:t>个。排在1-</w:t>
      </w:r>
      <w:r>
        <w:rPr>
          <w:rFonts w:asciiTheme="minorEastAsia" w:eastAsiaTheme="minorEastAsia" w:hAnsiTheme="minorEastAsia"/>
          <w:sz w:val="24"/>
        </w:rPr>
        <w:t>3</w:t>
      </w:r>
      <w:r>
        <w:rPr>
          <w:rFonts w:asciiTheme="minorEastAsia" w:eastAsiaTheme="minorEastAsia" w:hAnsiTheme="minorEastAsia" w:hint="eastAsia"/>
          <w:sz w:val="24"/>
        </w:rPr>
        <w:t>名的广东、江苏、山东省为第一梯队，项目数量均大于300个。排在</w:t>
      </w:r>
      <w:r>
        <w:rPr>
          <w:rFonts w:asciiTheme="minorEastAsia" w:eastAsiaTheme="minorEastAsia" w:hAnsiTheme="minorEastAsia"/>
          <w:sz w:val="24"/>
        </w:rPr>
        <w:t>4</w:t>
      </w:r>
      <w:r>
        <w:rPr>
          <w:rFonts w:asciiTheme="minorEastAsia" w:eastAsiaTheme="minorEastAsia" w:hAnsiTheme="minorEastAsia" w:hint="eastAsia"/>
          <w:sz w:val="24"/>
        </w:rPr>
        <w:t>-7名的浙江、上海、重庆等省（市）为第二梯队，项目数量均大于200个。江西、</w:t>
      </w:r>
      <w:r>
        <w:rPr>
          <w:rFonts w:asciiTheme="minorEastAsia" w:eastAsiaTheme="minorEastAsia" w:hAnsiTheme="minorEastAsia" w:hint="eastAsia"/>
          <w:sz w:val="24"/>
        </w:rPr>
        <w:lastRenderedPageBreak/>
        <w:t>河北、辽宁、湖南、四川为第三梯队，项目数量均大于1</w:t>
      </w:r>
      <w:r>
        <w:rPr>
          <w:rFonts w:asciiTheme="minorEastAsia" w:eastAsiaTheme="minorEastAsia" w:hAnsiTheme="minorEastAsia"/>
          <w:sz w:val="24"/>
        </w:rPr>
        <w:t>0</w:t>
      </w:r>
      <w:r>
        <w:rPr>
          <w:rFonts w:asciiTheme="minorEastAsia" w:eastAsiaTheme="minorEastAsia" w:hAnsiTheme="minorEastAsia" w:hint="eastAsia"/>
          <w:sz w:val="24"/>
        </w:rPr>
        <w:t>0个。西藏和宁夏启动项目数量分别为4个和2个。不同省（区）、市之间项目数量差别明显。</w:t>
      </w:r>
    </w:p>
    <w:p w14:paraId="0704623C" w14:textId="77777777" w:rsidR="00637225" w:rsidRDefault="00286D31" w:rsidP="006013E0">
      <w:pPr>
        <w:snapToGrid w:val="0"/>
        <w:spacing w:line="360" w:lineRule="auto"/>
        <w:rPr>
          <w:rFonts w:asciiTheme="minorEastAsia" w:eastAsiaTheme="minorEastAsia" w:hAnsiTheme="minorEastAsia"/>
          <w:b/>
        </w:rPr>
      </w:pPr>
      <w:r>
        <w:rPr>
          <w:noProof/>
        </w:rPr>
        <w:drawing>
          <wp:inline distT="0" distB="0" distL="0" distR="0" wp14:anchorId="1B1F1385" wp14:editId="123C91C9">
            <wp:extent cx="2660650" cy="6134100"/>
            <wp:effectExtent l="0" t="0" r="635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r>
        <w:rPr>
          <w:noProof/>
        </w:rPr>
        <w:drawing>
          <wp:inline distT="0" distB="0" distL="0" distR="0" wp14:anchorId="38B195E6" wp14:editId="0FD07625">
            <wp:extent cx="2527300" cy="6134100"/>
            <wp:effectExtent l="0" t="0" r="635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394B20" w14:textId="77777777" w:rsidR="000E3E89" w:rsidRPr="002249DB" w:rsidRDefault="000E3E89"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1</w:t>
      </w:r>
      <w:r w:rsidRPr="002249DB">
        <w:rPr>
          <w:rFonts w:ascii="宋体" w:hAnsi="宋体" w:hint="eastAsia"/>
          <w:b/>
          <w:bCs/>
        </w:rPr>
        <w:t>-</w:t>
      </w:r>
      <w:r w:rsidRPr="002249DB">
        <w:rPr>
          <w:rFonts w:ascii="宋体" w:hAnsi="宋体"/>
          <w:b/>
          <w:bCs/>
        </w:rPr>
        <w:t>2</w:t>
      </w:r>
      <w:r w:rsidRPr="002249DB">
        <w:rPr>
          <w:rFonts w:ascii="宋体" w:hAnsi="宋体" w:hint="eastAsia"/>
          <w:b/>
          <w:bCs/>
        </w:rPr>
        <w:t xml:space="preserve"> 202</w:t>
      </w:r>
      <w:r w:rsidRPr="002249DB">
        <w:rPr>
          <w:rFonts w:ascii="宋体" w:hAnsi="宋体"/>
          <w:b/>
          <w:bCs/>
        </w:rPr>
        <w:t>1</w:t>
      </w:r>
      <w:r w:rsidRPr="002249DB">
        <w:rPr>
          <w:rFonts w:ascii="宋体" w:hAnsi="宋体" w:hint="eastAsia"/>
          <w:b/>
          <w:bCs/>
        </w:rPr>
        <w:t>年3</w:t>
      </w:r>
      <w:r w:rsidRPr="002249DB">
        <w:rPr>
          <w:rFonts w:ascii="宋体" w:hAnsi="宋体"/>
          <w:b/>
          <w:bCs/>
        </w:rPr>
        <w:t>1</w:t>
      </w:r>
      <w:r w:rsidRPr="002249DB">
        <w:rPr>
          <w:rFonts w:ascii="宋体" w:hAnsi="宋体" w:hint="eastAsia"/>
          <w:b/>
          <w:bCs/>
        </w:rPr>
        <w:t>个省（市）市场项目金额和项目数量对比</w:t>
      </w:r>
    </w:p>
    <w:p w14:paraId="1CDADECF" w14:textId="77777777" w:rsidR="00637225" w:rsidRDefault="00286D31" w:rsidP="006013E0">
      <w:pPr>
        <w:pStyle w:val="1"/>
        <w:pageBreakBefore w:val="0"/>
        <w:widowControl w:val="0"/>
        <w:adjustRightInd/>
        <w:spacing w:beforeLines="0" w:line="360" w:lineRule="auto"/>
        <w:rPr>
          <w:rFonts w:cstheme="minorBidi"/>
          <w:bCs/>
          <w:caps w:val="0"/>
          <w:snapToGrid/>
          <w:kern w:val="44"/>
          <w:szCs w:val="44"/>
        </w:rPr>
      </w:pPr>
      <w:bookmarkStart w:id="2" w:name="_Toc84571961"/>
      <w:r>
        <w:rPr>
          <w:rFonts w:cstheme="minorBidi" w:hint="eastAsia"/>
          <w:bCs/>
          <w:caps w:val="0"/>
          <w:snapToGrid/>
          <w:kern w:val="44"/>
          <w:szCs w:val="44"/>
        </w:rPr>
        <w:t>2</w:t>
      </w:r>
      <w:r>
        <w:rPr>
          <w:rFonts w:cstheme="minorBidi" w:hint="eastAsia"/>
          <w:bCs/>
          <w:caps w:val="0"/>
          <w:snapToGrid/>
          <w:kern w:val="44"/>
          <w:szCs w:val="44"/>
        </w:rPr>
        <w:t>咨询服务：</w:t>
      </w:r>
      <w:r>
        <w:rPr>
          <w:rFonts w:cstheme="minorBidi" w:hint="eastAsia"/>
          <w:bCs/>
          <w:caps w:val="0"/>
          <w:snapToGrid/>
          <w:kern w:val="44"/>
          <w:szCs w:val="44"/>
        </w:rPr>
        <w:t>202</w:t>
      </w:r>
      <w:r>
        <w:rPr>
          <w:rFonts w:cstheme="minorBidi"/>
          <w:bCs/>
          <w:caps w:val="0"/>
          <w:snapToGrid/>
          <w:kern w:val="44"/>
          <w:szCs w:val="44"/>
        </w:rPr>
        <w:t>1</w:t>
      </w:r>
      <w:r>
        <w:rPr>
          <w:rFonts w:cstheme="minorBidi" w:hint="eastAsia"/>
          <w:bCs/>
          <w:caps w:val="0"/>
          <w:snapToGrid/>
          <w:kern w:val="44"/>
          <w:szCs w:val="44"/>
        </w:rPr>
        <w:t>年咨询服务</w:t>
      </w:r>
      <w:bookmarkEnd w:id="2"/>
      <w:r>
        <w:rPr>
          <w:rFonts w:cstheme="minorBidi" w:hint="eastAsia"/>
          <w:bCs/>
          <w:caps w:val="0"/>
          <w:snapToGrid/>
          <w:kern w:val="44"/>
          <w:szCs w:val="44"/>
        </w:rPr>
        <w:t>市场分析</w:t>
      </w:r>
    </w:p>
    <w:p w14:paraId="13A27AA0"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3" w:name="_Toc84571962"/>
      <w:r w:rsidRPr="002249DB">
        <w:rPr>
          <w:rFonts w:eastAsia="黑体"/>
          <w:color w:val="000000" w:themeColor="text1"/>
        </w:rPr>
        <w:t>2.1</w:t>
      </w:r>
      <w:r w:rsidRPr="002249DB">
        <w:rPr>
          <w:rFonts w:eastAsia="黑体"/>
          <w:color w:val="000000" w:themeColor="text1"/>
        </w:rPr>
        <w:t>市场规模分析</w:t>
      </w:r>
      <w:bookmarkEnd w:id="3"/>
    </w:p>
    <w:p w14:paraId="5B471448" w14:textId="77777777" w:rsidR="00637225" w:rsidRPr="002249DB" w:rsidRDefault="00286D31" w:rsidP="006013E0">
      <w:pPr>
        <w:pStyle w:val="3"/>
        <w:snapToGrid w:val="0"/>
        <w:ind w:firstLineChars="0" w:firstLine="0"/>
        <w:rPr>
          <w:rFonts w:eastAsia="黑体" w:cs="Times New Roman"/>
          <w:color w:val="000000" w:themeColor="text1"/>
          <w:sz w:val="28"/>
          <w:szCs w:val="28"/>
        </w:rPr>
      </w:pPr>
      <w:r w:rsidRPr="002249DB">
        <w:rPr>
          <w:rFonts w:eastAsia="黑体" w:cs="Times New Roman"/>
          <w:color w:val="000000" w:themeColor="text1"/>
          <w:sz w:val="28"/>
          <w:szCs w:val="28"/>
        </w:rPr>
        <w:t>2.1.1</w:t>
      </w:r>
      <w:r w:rsidRPr="002249DB">
        <w:rPr>
          <w:rFonts w:eastAsia="黑体" w:cs="Times New Roman"/>
          <w:color w:val="000000" w:themeColor="text1"/>
          <w:sz w:val="28"/>
          <w:szCs w:val="28"/>
        </w:rPr>
        <w:t>总体市场规模</w:t>
      </w:r>
    </w:p>
    <w:p w14:paraId="50E1E4EC"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w:t>
      </w:r>
      <w:r>
        <w:rPr>
          <w:rFonts w:asciiTheme="minorEastAsia" w:eastAsiaTheme="minorEastAsia" w:hAnsiTheme="minorEastAsia"/>
          <w:sz w:val="24"/>
        </w:rPr>
        <w:t>1</w:t>
      </w:r>
      <w:r>
        <w:rPr>
          <w:rFonts w:asciiTheme="minorEastAsia" w:eastAsiaTheme="minorEastAsia" w:hAnsiTheme="minorEastAsia" w:hint="eastAsia"/>
          <w:sz w:val="24"/>
        </w:rPr>
        <w:t>年全国正式启动（含已开标项目，不含未开标、流标项目）的土壤修复咨询服务类项目</w:t>
      </w:r>
      <w:r>
        <w:rPr>
          <w:rFonts w:asciiTheme="minorEastAsia" w:eastAsiaTheme="minorEastAsia" w:hAnsiTheme="minorEastAsia"/>
          <w:sz w:val="24"/>
        </w:rPr>
        <w:t>3123</w:t>
      </w:r>
      <w:r>
        <w:rPr>
          <w:rFonts w:asciiTheme="minorEastAsia" w:eastAsiaTheme="minorEastAsia" w:hAnsiTheme="minorEastAsia" w:hint="eastAsia"/>
          <w:sz w:val="24"/>
        </w:rPr>
        <w:t>个，总项目金额约为3</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01</w:t>
      </w:r>
      <w:r>
        <w:rPr>
          <w:rFonts w:asciiTheme="minorEastAsia" w:eastAsiaTheme="minorEastAsia" w:hAnsiTheme="minorEastAsia" w:hint="eastAsia"/>
          <w:sz w:val="24"/>
        </w:rPr>
        <w:t>亿元，覆盖全国除港澳台以外的</w:t>
      </w:r>
      <w:r>
        <w:rPr>
          <w:rFonts w:asciiTheme="minorEastAsia" w:eastAsiaTheme="minorEastAsia" w:hAnsiTheme="minorEastAsia" w:hint="eastAsia"/>
          <w:sz w:val="24"/>
        </w:rPr>
        <w:lastRenderedPageBreak/>
        <w:t>3</w:t>
      </w:r>
      <w:r>
        <w:rPr>
          <w:rFonts w:asciiTheme="minorEastAsia" w:eastAsiaTheme="minorEastAsia" w:hAnsiTheme="minorEastAsia"/>
          <w:sz w:val="24"/>
        </w:rPr>
        <w:t>1</w:t>
      </w:r>
      <w:r>
        <w:rPr>
          <w:rFonts w:asciiTheme="minorEastAsia" w:eastAsiaTheme="minorEastAsia" w:hAnsiTheme="minorEastAsia" w:hint="eastAsia"/>
          <w:sz w:val="24"/>
        </w:rPr>
        <w:t>个省（区、市）。</w:t>
      </w:r>
    </w:p>
    <w:p w14:paraId="0518189D"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图</w:t>
      </w:r>
      <w:r>
        <w:rPr>
          <w:rFonts w:asciiTheme="minorEastAsia" w:eastAsiaTheme="minorEastAsia" w:hAnsiTheme="minorEastAsia"/>
          <w:sz w:val="24"/>
        </w:rPr>
        <w:t>2</w:t>
      </w:r>
      <w:r>
        <w:rPr>
          <w:rFonts w:asciiTheme="minorEastAsia" w:eastAsiaTheme="minorEastAsia" w:hAnsiTheme="minorEastAsia" w:hint="eastAsia"/>
          <w:sz w:val="24"/>
        </w:rPr>
        <w:t>-1是我国2018-202</w:t>
      </w:r>
      <w:r>
        <w:rPr>
          <w:rFonts w:asciiTheme="minorEastAsia" w:eastAsiaTheme="minorEastAsia" w:hAnsiTheme="minorEastAsia"/>
          <w:sz w:val="24"/>
        </w:rPr>
        <w:t>1</w:t>
      </w:r>
      <w:r>
        <w:rPr>
          <w:rFonts w:asciiTheme="minorEastAsia" w:eastAsiaTheme="minorEastAsia" w:hAnsiTheme="minorEastAsia" w:hint="eastAsia"/>
          <w:sz w:val="24"/>
        </w:rPr>
        <w:t>年咨询服务项目数量和金额对比图。咨询服务类项目受国家政策影响很明显，“十三五”无论是项目数量还是项目金额上都呈现逐年增加趋势，尤其是作为“十三五”收官之年的2020年，项目金额接近了40亿元。2021年是“十四五”开局之年，在国家相关政策的驱动下，项目数量较2020年增加了9.46%，首次突破3000个，且达到了312</w:t>
      </w:r>
      <w:r>
        <w:rPr>
          <w:rFonts w:asciiTheme="minorEastAsia" w:eastAsiaTheme="minorEastAsia" w:hAnsiTheme="minorEastAsia"/>
          <w:sz w:val="24"/>
        </w:rPr>
        <w:t>3</w:t>
      </w:r>
      <w:r>
        <w:rPr>
          <w:rFonts w:asciiTheme="minorEastAsia" w:eastAsiaTheme="minorEastAsia" w:hAnsiTheme="minorEastAsia" w:hint="eastAsia"/>
          <w:sz w:val="24"/>
        </w:rPr>
        <w:t>个。</w:t>
      </w:r>
    </w:p>
    <w:p w14:paraId="08750193"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需要注意的是，分析每个项目的平均单价发现，每年的平均单价在不断下降。与2018年相比，2021年咨询服务类项目数量较2018年增加了2.1倍，但平均每个项目的单价从2018年最高的180.2万元/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降低到2021年的113万元/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，下降比例达到37.3%，下降速度非常明显。与2020年相比，2021年项目数量增加了9.4%，但项目金额</w:t>
      </w:r>
      <w:proofErr w:type="gramStart"/>
      <w:r>
        <w:rPr>
          <w:rFonts w:asciiTheme="minorEastAsia" w:eastAsiaTheme="minorEastAsia" w:hAnsiTheme="minorEastAsia" w:hint="eastAsia"/>
          <w:sz w:val="24"/>
        </w:rPr>
        <w:t>确下降</w:t>
      </w:r>
      <w:proofErr w:type="gramEnd"/>
      <w:r>
        <w:rPr>
          <w:rFonts w:asciiTheme="minorEastAsia" w:eastAsiaTheme="minorEastAsia" w:hAnsiTheme="minorEastAsia" w:hint="eastAsia"/>
          <w:sz w:val="24"/>
        </w:rPr>
        <w:t>了12%。这在较大程度上反映出当前土壤环境修复咨询服务行业的利润空间越来越小。</w:t>
      </w:r>
    </w:p>
    <w:p w14:paraId="0BCA2345" w14:textId="77777777" w:rsidR="00637225" w:rsidRDefault="00286D31" w:rsidP="006013E0">
      <w:pPr>
        <w:snapToGrid w:val="0"/>
        <w:spacing w:line="360" w:lineRule="auto"/>
        <w:jc w:val="center"/>
        <w:rPr>
          <w:rFonts w:asciiTheme="minorEastAsia" w:eastAsiaTheme="minorEastAsia" w:hAnsiTheme="minorEastAsia"/>
          <w:sz w:val="24"/>
        </w:rPr>
      </w:pPr>
      <w:r>
        <w:rPr>
          <w:noProof/>
        </w:rPr>
        <w:drawing>
          <wp:inline distT="0" distB="0" distL="0" distR="0" wp14:anchorId="4B5117E6" wp14:editId="7224409B">
            <wp:extent cx="5001260" cy="2674954"/>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006039" cy="2677510"/>
                    </a:xfrm>
                    <a:prstGeom prst="rect">
                      <a:avLst/>
                    </a:prstGeom>
                  </pic:spPr>
                </pic:pic>
              </a:graphicData>
            </a:graphic>
          </wp:inline>
        </w:drawing>
      </w:r>
    </w:p>
    <w:p w14:paraId="64B7D0C0"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2</w:t>
      </w:r>
      <w:r w:rsidRPr="002249DB">
        <w:rPr>
          <w:rFonts w:ascii="宋体" w:hAnsi="宋体" w:hint="eastAsia"/>
          <w:b/>
          <w:bCs/>
        </w:rPr>
        <w:t>-1 2018-202</w:t>
      </w:r>
      <w:r w:rsidRPr="002249DB">
        <w:rPr>
          <w:rFonts w:ascii="宋体" w:hAnsi="宋体"/>
          <w:b/>
          <w:bCs/>
        </w:rPr>
        <w:t>1</w:t>
      </w:r>
      <w:r w:rsidRPr="002249DB">
        <w:rPr>
          <w:rFonts w:ascii="宋体" w:hAnsi="宋体" w:hint="eastAsia"/>
          <w:b/>
          <w:bCs/>
        </w:rPr>
        <w:t>年咨询服务项目数量和项目金额对比</w:t>
      </w:r>
    </w:p>
    <w:p w14:paraId="7AD048E9"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2.1.2</w:t>
      </w:r>
      <w:r w:rsidRPr="002249DB">
        <w:rPr>
          <w:rFonts w:eastAsia="黑体" w:cs="Times New Roman" w:hint="eastAsia"/>
          <w:color w:val="000000" w:themeColor="text1"/>
          <w:sz w:val="28"/>
          <w:szCs w:val="28"/>
        </w:rPr>
        <w:t>不同类型项目分析</w:t>
      </w:r>
    </w:p>
    <w:p w14:paraId="238A19D1"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表</w:t>
      </w:r>
      <w:r>
        <w:rPr>
          <w:rFonts w:asciiTheme="minorEastAsia" w:eastAsiaTheme="minorEastAsia" w:hAnsiTheme="minorEastAsia"/>
          <w:sz w:val="24"/>
        </w:rPr>
        <w:t>2</w:t>
      </w:r>
      <w:r>
        <w:rPr>
          <w:rFonts w:asciiTheme="minorEastAsia" w:eastAsiaTheme="minorEastAsia" w:hAnsiTheme="minorEastAsia" w:hint="eastAsia"/>
          <w:sz w:val="24"/>
        </w:rPr>
        <w:t>-1是202</w:t>
      </w:r>
      <w:r>
        <w:rPr>
          <w:rFonts w:asciiTheme="minorEastAsia" w:eastAsiaTheme="minorEastAsia" w:hAnsiTheme="minorEastAsia"/>
          <w:sz w:val="24"/>
        </w:rPr>
        <w:t>1</w:t>
      </w:r>
      <w:r>
        <w:rPr>
          <w:rFonts w:asciiTheme="minorEastAsia" w:eastAsiaTheme="minorEastAsia" w:hAnsiTheme="minorEastAsia" w:hint="eastAsia"/>
          <w:sz w:val="24"/>
        </w:rPr>
        <w:t>年不同类型的咨询服务类项目数量和金额对比表和对比，其中“技术服务”包括工程监理、项目小试、勘察设计等服务。202</w:t>
      </w:r>
      <w:r>
        <w:rPr>
          <w:rFonts w:asciiTheme="minorEastAsia" w:eastAsiaTheme="minorEastAsia" w:hAnsiTheme="minorEastAsia"/>
          <w:sz w:val="24"/>
        </w:rPr>
        <w:t>1</w:t>
      </w:r>
      <w:r>
        <w:rPr>
          <w:rFonts w:asciiTheme="minorEastAsia" w:eastAsiaTheme="minorEastAsia" w:hAnsiTheme="minorEastAsia" w:hint="eastAsia"/>
          <w:sz w:val="24"/>
        </w:rPr>
        <w:t>年咨询服务项目主要以土壤和地下水的调查评估为主，</w:t>
      </w:r>
      <w:r>
        <w:rPr>
          <w:rFonts w:asciiTheme="minorEastAsia" w:eastAsiaTheme="minorEastAsia" w:hAnsiTheme="minorEastAsia"/>
          <w:sz w:val="24"/>
        </w:rPr>
        <w:t>项目数量占77</w:t>
      </w: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项目金额</w:t>
      </w:r>
      <w:r>
        <w:rPr>
          <w:rFonts w:asciiTheme="minorEastAsia" w:eastAsiaTheme="minorEastAsia" w:hAnsiTheme="minorEastAsia"/>
          <w:sz w:val="24"/>
        </w:rPr>
        <w:t>占76</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这很大程度上是因为“十三五”期间在生态环境部的统一组织领导下，全国完成的重点行业企业用地调查识别出较多的污染地块，“十四五”第一年释放出较多的调查评估项目，以及受国家加强地下水环境调查评估的环境管理要求影响，释放</w:t>
      </w:r>
      <w:r>
        <w:rPr>
          <w:rFonts w:asciiTheme="minorEastAsia" w:eastAsiaTheme="minorEastAsia" w:hAnsiTheme="minorEastAsia" w:hint="eastAsia"/>
          <w:sz w:val="24"/>
        </w:rPr>
        <w:lastRenderedPageBreak/>
        <w:t>出较多的区域性、行业性地下水调查评估项目（2021年一个较为显著的特点即表现为地下水调查评估类项目明显增加，以山西省长治市、大同市为代表的地下水调查项目成为了2021年金额最大的咨询服务项目）。另技术服务、效果评估、方案编制等类型的咨询服务项目数量占比均较小。</w:t>
      </w:r>
    </w:p>
    <w:p w14:paraId="040D347B"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通过该表还可以看出，2021年效果评估类项目共计128个，项目数量远低于调查评估类项目，同时每个效果评估类项目的平均单价为115.58万元/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，调查评估类和效果评估类项目单个项目的平均价格总体相当。调查评估与方案编制一并开展的项目的平均单价约310万元/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，方案编制类项目的平均单价为125万元/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，由此将调查评估与方案编制合并开展的项目的平均单价明显高于将调查评估、方案编制拆开后的项目的平均单价。</w:t>
      </w:r>
    </w:p>
    <w:p w14:paraId="09A30617"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表2-1  2021年不同类型的咨询服务项目数量和金额对比表</w:t>
      </w:r>
    </w:p>
    <w:tbl>
      <w:tblPr>
        <w:tblW w:w="8804" w:type="dxa"/>
        <w:tblInd w:w="93" w:type="dxa"/>
        <w:tblLook w:val="04A0" w:firstRow="1" w:lastRow="0" w:firstColumn="1" w:lastColumn="0" w:noHBand="0" w:noVBand="1"/>
      </w:tblPr>
      <w:tblGrid>
        <w:gridCol w:w="724"/>
        <w:gridCol w:w="1507"/>
        <w:gridCol w:w="1186"/>
        <w:gridCol w:w="1418"/>
        <w:gridCol w:w="1305"/>
        <w:gridCol w:w="1240"/>
        <w:gridCol w:w="1424"/>
      </w:tblGrid>
      <w:tr w:rsidR="00637225" w:rsidRPr="0093704B" w14:paraId="75F83218" w14:textId="77777777">
        <w:trPr>
          <w:trHeight w:val="398"/>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D44B2"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序号</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B13E2D"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咨询服务项目类型</w:t>
            </w:r>
          </w:p>
        </w:tc>
        <w:tc>
          <w:tcPr>
            <w:tcW w:w="2604" w:type="dxa"/>
            <w:gridSpan w:val="2"/>
            <w:tcBorders>
              <w:top w:val="single" w:sz="4" w:space="0" w:color="auto"/>
              <w:left w:val="nil"/>
              <w:bottom w:val="single" w:sz="4" w:space="0" w:color="auto"/>
              <w:right w:val="single" w:sz="4" w:space="0" w:color="auto"/>
            </w:tcBorders>
            <w:shd w:val="clear" w:color="auto" w:fill="auto"/>
            <w:vAlign w:val="center"/>
          </w:tcPr>
          <w:p w14:paraId="5FAB1232"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项目数量</w:t>
            </w:r>
          </w:p>
        </w:tc>
        <w:tc>
          <w:tcPr>
            <w:tcW w:w="2545" w:type="dxa"/>
            <w:gridSpan w:val="2"/>
            <w:tcBorders>
              <w:top w:val="single" w:sz="4" w:space="0" w:color="auto"/>
              <w:left w:val="nil"/>
              <w:bottom w:val="single" w:sz="4" w:space="0" w:color="auto"/>
              <w:right w:val="single" w:sz="4" w:space="0" w:color="auto"/>
            </w:tcBorders>
            <w:shd w:val="clear" w:color="auto" w:fill="auto"/>
            <w:vAlign w:val="center"/>
          </w:tcPr>
          <w:p w14:paraId="40E5FDCD"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项目金额</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46820E"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平均每个项目单价（万元</w:t>
            </w:r>
            <w:r w:rsidRPr="0093704B">
              <w:rPr>
                <w:b/>
                <w:bCs/>
                <w:color w:val="000000"/>
                <w:kern w:val="0"/>
                <w:szCs w:val="21"/>
              </w:rPr>
              <w:t>/</w:t>
            </w:r>
            <w:proofErr w:type="gramStart"/>
            <w:r w:rsidRPr="0093704B">
              <w:rPr>
                <w:b/>
                <w:bCs/>
                <w:color w:val="000000"/>
                <w:kern w:val="0"/>
                <w:szCs w:val="21"/>
              </w:rPr>
              <w:t>个</w:t>
            </w:r>
            <w:proofErr w:type="gramEnd"/>
            <w:r w:rsidRPr="0093704B">
              <w:rPr>
                <w:b/>
                <w:bCs/>
                <w:color w:val="000000"/>
                <w:kern w:val="0"/>
                <w:szCs w:val="21"/>
              </w:rPr>
              <w:t>）</w:t>
            </w:r>
          </w:p>
        </w:tc>
      </w:tr>
      <w:tr w:rsidR="00637225" w:rsidRPr="0093704B" w14:paraId="628AADAE" w14:textId="77777777">
        <w:trPr>
          <w:trHeight w:val="270"/>
        </w:trPr>
        <w:tc>
          <w:tcPr>
            <w:tcW w:w="724" w:type="dxa"/>
            <w:vMerge/>
            <w:tcBorders>
              <w:top w:val="single" w:sz="4" w:space="0" w:color="auto"/>
              <w:left w:val="single" w:sz="4" w:space="0" w:color="auto"/>
              <w:bottom w:val="single" w:sz="4" w:space="0" w:color="auto"/>
              <w:right w:val="single" w:sz="4" w:space="0" w:color="auto"/>
            </w:tcBorders>
            <w:vAlign w:val="center"/>
          </w:tcPr>
          <w:p w14:paraId="4DA6A8D8" w14:textId="77777777" w:rsidR="00637225" w:rsidRPr="0093704B" w:rsidRDefault="00637225" w:rsidP="006013E0">
            <w:pPr>
              <w:widowControl/>
              <w:snapToGrid w:val="0"/>
              <w:spacing w:line="360" w:lineRule="auto"/>
              <w:jc w:val="left"/>
              <w:rPr>
                <w:b/>
                <w:bCs/>
                <w:color w:val="000000"/>
                <w:kern w:val="0"/>
                <w:szCs w:val="21"/>
              </w:rPr>
            </w:pPr>
          </w:p>
        </w:tc>
        <w:tc>
          <w:tcPr>
            <w:tcW w:w="1507" w:type="dxa"/>
            <w:vMerge/>
            <w:tcBorders>
              <w:top w:val="single" w:sz="4" w:space="0" w:color="auto"/>
              <w:left w:val="single" w:sz="4" w:space="0" w:color="auto"/>
              <w:bottom w:val="single" w:sz="4" w:space="0" w:color="auto"/>
              <w:right w:val="single" w:sz="4" w:space="0" w:color="auto"/>
            </w:tcBorders>
            <w:vAlign w:val="center"/>
          </w:tcPr>
          <w:p w14:paraId="0DA8567D" w14:textId="77777777" w:rsidR="00637225" w:rsidRPr="0093704B" w:rsidRDefault="00637225" w:rsidP="006013E0">
            <w:pPr>
              <w:widowControl/>
              <w:snapToGrid w:val="0"/>
              <w:spacing w:line="360" w:lineRule="auto"/>
              <w:jc w:val="left"/>
              <w:rPr>
                <w:b/>
                <w:bCs/>
                <w:color w:val="000000"/>
                <w:kern w:val="0"/>
                <w:szCs w:val="21"/>
              </w:rPr>
            </w:pPr>
          </w:p>
        </w:tc>
        <w:tc>
          <w:tcPr>
            <w:tcW w:w="1186" w:type="dxa"/>
            <w:tcBorders>
              <w:top w:val="nil"/>
              <w:left w:val="nil"/>
              <w:bottom w:val="single" w:sz="4" w:space="0" w:color="auto"/>
              <w:right w:val="single" w:sz="4" w:space="0" w:color="auto"/>
            </w:tcBorders>
            <w:shd w:val="clear" w:color="auto" w:fill="auto"/>
            <w:vAlign w:val="center"/>
          </w:tcPr>
          <w:p w14:paraId="0E0AC218"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数量</w:t>
            </w:r>
            <w:r w:rsidRPr="0093704B">
              <w:rPr>
                <w:b/>
                <w:color w:val="000000"/>
                <w:kern w:val="0"/>
                <w:szCs w:val="21"/>
              </w:rPr>
              <w:t>/</w:t>
            </w:r>
            <w:proofErr w:type="gramStart"/>
            <w:r w:rsidRPr="0093704B">
              <w:rPr>
                <w:b/>
                <w:color w:val="000000"/>
                <w:kern w:val="0"/>
                <w:szCs w:val="21"/>
              </w:rPr>
              <w:t>个</w:t>
            </w:r>
            <w:proofErr w:type="gramEnd"/>
          </w:p>
        </w:tc>
        <w:tc>
          <w:tcPr>
            <w:tcW w:w="1418" w:type="dxa"/>
            <w:tcBorders>
              <w:top w:val="nil"/>
              <w:left w:val="nil"/>
              <w:bottom w:val="single" w:sz="4" w:space="0" w:color="auto"/>
              <w:right w:val="single" w:sz="4" w:space="0" w:color="auto"/>
            </w:tcBorders>
            <w:shd w:val="clear" w:color="auto" w:fill="auto"/>
            <w:vAlign w:val="center"/>
          </w:tcPr>
          <w:p w14:paraId="4DC4CD89"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数量占比</w:t>
            </w:r>
            <w:r w:rsidRPr="0093704B">
              <w:rPr>
                <w:b/>
                <w:color w:val="000000"/>
                <w:kern w:val="0"/>
                <w:szCs w:val="21"/>
              </w:rPr>
              <w:t>/%</w:t>
            </w:r>
          </w:p>
        </w:tc>
        <w:tc>
          <w:tcPr>
            <w:tcW w:w="1305" w:type="dxa"/>
            <w:tcBorders>
              <w:top w:val="nil"/>
              <w:left w:val="nil"/>
              <w:bottom w:val="single" w:sz="4" w:space="0" w:color="auto"/>
              <w:right w:val="single" w:sz="4" w:space="0" w:color="auto"/>
            </w:tcBorders>
            <w:shd w:val="clear" w:color="auto" w:fill="auto"/>
            <w:vAlign w:val="center"/>
          </w:tcPr>
          <w:p w14:paraId="120DF12A"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金额</w:t>
            </w:r>
            <w:r w:rsidRPr="0093704B">
              <w:rPr>
                <w:b/>
                <w:color w:val="000000"/>
                <w:kern w:val="0"/>
                <w:szCs w:val="21"/>
              </w:rPr>
              <w:t>/</w:t>
            </w:r>
            <w:r w:rsidRPr="0093704B">
              <w:rPr>
                <w:b/>
                <w:color w:val="000000"/>
                <w:kern w:val="0"/>
                <w:szCs w:val="21"/>
              </w:rPr>
              <w:t>万元</w:t>
            </w:r>
          </w:p>
        </w:tc>
        <w:tc>
          <w:tcPr>
            <w:tcW w:w="1240" w:type="dxa"/>
            <w:tcBorders>
              <w:top w:val="nil"/>
              <w:left w:val="nil"/>
              <w:bottom w:val="single" w:sz="4" w:space="0" w:color="auto"/>
              <w:right w:val="single" w:sz="4" w:space="0" w:color="auto"/>
            </w:tcBorders>
            <w:shd w:val="clear" w:color="auto" w:fill="auto"/>
            <w:vAlign w:val="center"/>
          </w:tcPr>
          <w:p w14:paraId="3BE99D6B"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金额占比</w:t>
            </w:r>
            <w:r w:rsidRPr="0093704B">
              <w:rPr>
                <w:b/>
                <w:color w:val="000000"/>
                <w:kern w:val="0"/>
                <w:szCs w:val="21"/>
              </w:rPr>
              <w:t>/%</w:t>
            </w:r>
          </w:p>
        </w:tc>
        <w:tc>
          <w:tcPr>
            <w:tcW w:w="1424" w:type="dxa"/>
            <w:vMerge/>
            <w:tcBorders>
              <w:top w:val="single" w:sz="4" w:space="0" w:color="auto"/>
              <w:left w:val="single" w:sz="4" w:space="0" w:color="auto"/>
              <w:bottom w:val="single" w:sz="4" w:space="0" w:color="auto"/>
              <w:right w:val="single" w:sz="4" w:space="0" w:color="auto"/>
            </w:tcBorders>
            <w:vAlign w:val="center"/>
          </w:tcPr>
          <w:p w14:paraId="0C48DE74" w14:textId="77777777" w:rsidR="00637225" w:rsidRPr="0093704B" w:rsidRDefault="00637225" w:rsidP="006013E0">
            <w:pPr>
              <w:widowControl/>
              <w:snapToGrid w:val="0"/>
              <w:spacing w:line="360" w:lineRule="auto"/>
              <w:jc w:val="left"/>
              <w:rPr>
                <w:b/>
                <w:bCs/>
                <w:color w:val="000000"/>
                <w:kern w:val="0"/>
                <w:szCs w:val="21"/>
              </w:rPr>
            </w:pPr>
          </w:p>
        </w:tc>
      </w:tr>
      <w:tr w:rsidR="00637225" w:rsidRPr="0093704B" w14:paraId="666D5F60"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7D35C61F"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1</w:t>
            </w:r>
          </w:p>
        </w:tc>
        <w:tc>
          <w:tcPr>
            <w:tcW w:w="1507" w:type="dxa"/>
            <w:tcBorders>
              <w:top w:val="nil"/>
              <w:left w:val="nil"/>
              <w:bottom w:val="single" w:sz="4" w:space="0" w:color="auto"/>
              <w:right w:val="single" w:sz="4" w:space="0" w:color="auto"/>
            </w:tcBorders>
            <w:shd w:val="clear" w:color="auto" w:fill="auto"/>
            <w:vAlign w:val="center"/>
          </w:tcPr>
          <w:p w14:paraId="12FE924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土壤调查评估</w:t>
            </w:r>
          </w:p>
        </w:tc>
        <w:tc>
          <w:tcPr>
            <w:tcW w:w="1186" w:type="dxa"/>
            <w:tcBorders>
              <w:top w:val="nil"/>
              <w:left w:val="nil"/>
              <w:bottom w:val="single" w:sz="4" w:space="0" w:color="auto"/>
              <w:right w:val="single" w:sz="4" w:space="0" w:color="auto"/>
            </w:tcBorders>
            <w:shd w:val="clear" w:color="auto" w:fill="auto"/>
            <w:vAlign w:val="center"/>
          </w:tcPr>
          <w:p w14:paraId="4B3E100C"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2164</w:t>
            </w:r>
          </w:p>
        </w:tc>
        <w:tc>
          <w:tcPr>
            <w:tcW w:w="1418" w:type="dxa"/>
            <w:tcBorders>
              <w:top w:val="nil"/>
              <w:left w:val="nil"/>
              <w:bottom w:val="single" w:sz="4" w:space="0" w:color="auto"/>
              <w:right w:val="single" w:sz="4" w:space="0" w:color="auto"/>
            </w:tcBorders>
            <w:shd w:val="clear" w:color="auto" w:fill="auto"/>
            <w:vAlign w:val="center"/>
          </w:tcPr>
          <w:p w14:paraId="26FA71E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69.3</w:t>
            </w:r>
          </w:p>
        </w:tc>
        <w:tc>
          <w:tcPr>
            <w:tcW w:w="1305" w:type="dxa"/>
            <w:tcBorders>
              <w:top w:val="nil"/>
              <w:left w:val="nil"/>
              <w:bottom w:val="single" w:sz="4" w:space="0" w:color="auto"/>
              <w:right w:val="single" w:sz="4" w:space="0" w:color="auto"/>
            </w:tcBorders>
            <w:shd w:val="clear" w:color="auto" w:fill="auto"/>
            <w:vAlign w:val="center"/>
          </w:tcPr>
          <w:p w14:paraId="70F17B9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209043.83</w:t>
            </w:r>
          </w:p>
        </w:tc>
        <w:tc>
          <w:tcPr>
            <w:tcW w:w="1240" w:type="dxa"/>
            <w:tcBorders>
              <w:top w:val="nil"/>
              <w:left w:val="nil"/>
              <w:bottom w:val="single" w:sz="4" w:space="0" w:color="auto"/>
              <w:right w:val="single" w:sz="4" w:space="0" w:color="auto"/>
            </w:tcBorders>
            <w:shd w:val="clear" w:color="auto" w:fill="auto"/>
            <w:vAlign w:val="center"/>
          </w:tcPr>
          <w:p w14:paraId="7B1E6E2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59.7</w:t>
            </w:r>
          </w:p>
        </w:tc>
        <w:tc>
          <w:tcPr>
            <w:tcW w:w="1424" w:type="dxa"/>
            <w:tcBorders>
              <w:top w:val="nil"/>
              <w:left w:val="nil"/>
              <w:bottom w:val="single" w:sz="4" w:space="0" w:color="auto"/>
              <w:right w:val="single" w:sz="4" w:space="0" w:color="auto"/>
            </w:tcBorders>
            <w:shd w:val="clear" w:color="auto" w:fill="auto"/>
            <w:vAlign w:val="center"/>
          </w:tcPr>
          <w:p w14:paraId="5974870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96.6</w:t>
            </w:r>
          </w:p>
        </w:tc>
      </w:tr>
      <w:tr w:rsidR="00637225" w:rsidRPr="0093704B" w14:paraId="42010245"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0CF0D06D"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2</w:t>
            </w:r>
          </w:p>
        </w:tc>
        <w:tc>
          <w:tcPr>
            <w:tcW w:w="1507" w:type="dxa"/>
            <w:tcBorders>
              <w:top w:val="nil"/>
              <w:left w:val="nil"/>
              <w:bottom w:val="single" w:sz="4" w:space="0" w:color="auto"/>
              <w:right w:val="single" w:sz="4" w:space="0" w:color="auto"/>
            </w:tcBorders>
            <w:shd w:val="clear" w:color="auto" w:fill="auto"/>
            <w:vAlign w:val="center"/>
          </w:tcPr>
          <w:p w14:paraId="0D78A45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地下水调查评估</w:t>
            </w:r>
          </w:p>
        </w:tc>
        <w:tc>
          <w:tcPr>
            <w:tcW w:w="1186" w:type="dxa"/>
            <w:tcBorders>
              <w:top w:val="nil"/>
              <w:left w:val="nil"/>
              <w:bottom w:val="single" w:sz="4" w:space="0" w:color="auto"/>
              <w:right w:val="single" w:sz="4" w:space="0" w:color="auto"/>
            </w:tcBorders>
            <w:shd w:val="clear" w:color="auto" w:fill="auto"/>
            <w:vAlign w:val="center"/>
          </w:tcPr>
          <w:p w14:paraId="68446C2C"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269</w:t>
            </w:r>
          </w:p>
        </w:tc>
        <w:tc>
          <w:tcPr>
            <w:tcW w:w="1418" w:type="dxa"/>
            <w:tcBorders>
              <w:top w:val="nil"/>
              <w:left w:val="nil"/>
              <w:bottom w:val="single" w:sz="4" w:space="0" w:color="auto"/>
              <w:right w:val="single" w:sz="4" w:space="0" w:color="auto"/>
            </w:tcBorders>
            <w:shd w:val="clear" w:color="auto" w:fill="auto"/>
            <w:vAlign w:val="center"/>
          </w:tcPr>
          <w:p w14:paraId="23F6CF6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8.6</w:t>
            </w:r>
          </w:p>
        </w:tc>
        <w:tc>
          <w:tcPr>
            <w:tcW w:w="1305" w:type="dxa"/>
            <w:tcBorders>
              <w:top w:val="nil"/>
              <w:left w:val="nil"/>
              <w:bottom w:val="single" w:sz="4" w:space="0" w:color="auto"/>
              <w:right w:val="single" w:sz="4" w:space="0" w:color="auto"/>
            </w:tcBorders>
            <w:shd w:val="clear" w:color="auto" w:fill="auto"/>
            <w:vAlign w:val="center"/>
          </w:tcPr>
          <w:p w14:paraId="4E7F0F63"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59278.17</w:t>
            </w:r>
          </w:p>
        </w:tc>
        <w:tc>
          <w:tcPr>
            <w:tcW w:w="1240" w:type="dxa"/>
            <w:tcBorders>
              <w:top w:val="nil"/>
              <w:left w:val="nil"/>
              <w:bottom w:val="single" w:sz="4" w:space="0" w:color="auto"/>
              <w:right w:val="single" w:sz="4" w:space="0" w:color="auto"/>
            </w:tcBorders>
            <w:shd w:val="clear" w:color="auto" w:fill="auto"/>
            <w:vAlign w:val="center"/>
          </w:tcPr>
          <w:p w14:paraId="7B7E1D8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16.9</w:t>
            </w:r>
          </w:p>
        </w:tc>
        <w:tc>
          <w:tcPr>
            <w:tcW w:w="1424" w:type="dxa"/>
            <w:tcBorders>
              <w:top w:val="nil"/>
              <w:left w:val="nil"/>
              <w:bottom w:val="single" w:sz="4" w:space="0" w:color="auto"/>
              <w:right w:val="single" w:sz="4" w:space="0" w:color="auto"/>
            </w:tcBorders>
            <w:shd w:val="clear" w:color="auto" w:fill="auto"/>
            <w:vAlign w:val="center"/>
          </w:tcPr>
          <w:p w14:paraId="3040D390"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220.36</w:t>
            </w:r>
          </w:p>
        </w:tc>
      </w:tr>
      <w:tr w:rsidR="00637225" w:rsidRPr="0093704B" w14:paraId="75FB1519" w14:textId="77777777">
        <w:trPr>
          <w:trHeight w:val="465"/>
        </w:trPr>
        <w:tc>
          <w:tcPr>
            <w:tcW w:w="724" w:type="dxa"/>
            <w:tcBorders>
              <w:top w:val="nil"/>
              <w:left w:val="single" w:sz="4" w:space="0" w:color="auto"/>
              <w:bottom w:val="single" w:sz="4" w:space="0" w:color="auto"/>
              <w:right w:val="single" w:sz="4" w:space="0" w:color="auto"/>
            </w:tcBorders>
            <w:shd w:val="clear" w:color="auto" w:fill="auto"/>
            <w:vAlign w:val="center"/>
          </w:tcPr>
          <w:p w14:paraId="3BC0EB6E" w14:textId="77777777" w:rsidR="00637225" w:rsidRPr="0093704B" w:rsidRDefault="00637225" w:rsidP="006013E0">
            <w:pPr>
              <w:widowControl/>
              <w:snapToGrid w:val="0"/>
              <w:spacing w:line="360" w:lineRule="auto"/>
              <w:jc w:val="center"/>
              <w:rPr>
                <w:b/>
                <w:bCs/>
                <w:color w:val="000000"/>
                <w:kern w:val="0"/>
                <w:szCs w:val="21"/>
              </w:rPr>
            </w:pPr>
          </w:p>
        </w:tc>
        <w:tc>
          <w:tcPr>
            <w:tcW w:w="1507" w:type="dxa"/>
            <w:tcBorders>
              <w:top w:val="nil"/>
              <w:left w:val="nil"/>
              <w:bottom w:val="single" w:sz="4" w:space="0" w:color="auto"/>
              <w:right w:val="single" w:sz="4" w:space="0" w:color="auto"/>
            </w:tcBorders>
            <w:shd w:val="clear" w:color="auto" w:fill="auto"/>
            <w:vAlign w:val="center"/>
          </w:tcPr>
          <w:p w14:paraId="7314B70C"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小计</w:t>
            </w:r>
          </w:p>
        </w:tc>
        <w:tc>
          <w:tcPr>
            <w:tcW w:w="1186" w:type="dxa"/>
            <w:tcBorders>
              <w:top w:val="nil"/>
              <w:left w:val="nil"/>
              <w:bottom w:val="single" w:sz="4" w:space="0" w:color="auto"/>
              <w:right w:val="single" w:sz="4" w:space="0" w:color="auto"/>
            </w:tcBorders>
            <w:shd w:val="clear" w:color="auto" w:fill="auto"/>
            <w:vAlign w:val="center"/>
          </w:tcPr>
          <w:p w14:paraId="7CBF2A43"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2433</w:t>
            </w:r>
          </w:p>
        </w:tc>
        <w:tc>
          <w:tcPr>
            <w:tcW w:w="1418" w:type="dxa"/>
            <w:tcBorders>
              <w:top w:val="nil"/>
              <w:left w:val="nil"/>
              <w:bottom w:val="single" w:sz="4" w:space="0" w:color="auto"/>
              <w:right w:val="single" w:sz="4" w:space="0" w:color="auto"/>
            </w:tcBorders>
            <w:shd w:val="clear" w:color="auto" w:fill="auto"/>
            <w:vAlign w:val="center"/>
          </w:tcPr>
          <w:p w14:paraId="4CC5438D"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77.9</w:t>
            </w:r>
          </w:p>
        </w:tc>
        <w:tc>
          <w:tcPr>
            <w:tcW w:w="1305" w:type="dxa"/>
            <w:tcBorders>
              <w:top w:val="nil"/>
              <w:left w:val="nil"/>
              <w:bottom w:val="single" w:sz="4" w:space="0" w:color="auto"/>
              <w:right w:val="single" w:sz="4" w:space="0" w:color="auto"/>
            </w:tcBorders>
            <w:shd w:val="clear" w:color="auto" w:fill="auto"/>
            <w:vAlign w:val="center"/>
          </w:tcPr>
          <w:p w14:paraId="46BD51C3"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268322</w:t>
            </w:r>
          </w:p>
        </w:tc>
        <w:tc>
          <w:tcPr>
            <w:tcW w:w="1240" w:type="dxa"/>
            <w:tcBorders>
              <w:top w:val="nil"/>
              <w:left w:val="nil"/>
              <w:bottom w:val="single" w:sz="4" w:space="0" w:color="auto"/>
              <w:right w:val="single" w:sz="4" w:space="0" w:color="auto"/>
            </w:tcBorders>
            <w:shd w:val="clear" w:color="auto" w:fill="auto"/>
            <w:vAlign w:val="center"/>
          </w:tcPr>
          <w:p w14:paraId="67F68200"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76.6</w:t>
            </w:r>
          </w:p>
        </w:tc>
        <w:tc>
          <w:tcPr>
            <w:tcW w:w="1424" w:type="dxa"/>
            <w:tcBorders>
              <w:top w:val="nil"/>
              <w:left w:val="nil"/>
              <w:bottom w:val="single" w:sz="4" w:space="0" w:color="auto"/>
              <w:right w:val="single" w:sz="4" w:space="0" w:color="auto"/>
            </w:tcBorders>
            <w:shd w:val="clear" w:color="auto" w:fill="auto"/>
            <w:vAlign w:val="center"/>
          </w:tcPr>
          <w:p w14:paraId="76E623DF" w14:textId="77777777" w:rsidR="00637225" w:rsidRPr="0093704B" w:rsidRDefault="00286D31" w:rsidP="006013E0">
            <w:pPr>
              <w:widowControl/>
              <w:snapToGrid w:val="0"/>
              <w:spacing w:line="360" w:lineRule="auto"/>
              <w:jc w:val="center"/>
              <w:rPr>
                <w:b/>
                <w:color w:val="000000"/>
                <w:kern w:val="0"/>
                <w:szCs w:val="21"/>
              </w:rPr>
            </w:pPr>
            <w:r w:rsidRPr="0093704B">
              <w:rPr>
                <w:b/>
                <w:color w:val="000000"/>
                <w:kern w:val="0"/>
                <w:szCs w:val="21"/>
              </w:rPr>
              <w:t>110</w:t>
            </w:r>
          </w:p>
        </w:tc>
      </w:tr>
      <w:tr w:rsidR="00637225" w:rsidRPr="0093704B" w14:paraId="678C5A8C"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3C656049"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3</w:t>
            </w:r>
          </w:p>
        </w:tc>
        <w:tc>
          <w:tcPr>
            <w:tcW w:w="1507" w:type="dxa"/>
            <w:tcBorders>
              <w:top w:val="nil"/>
              <w:left w:val="nil"/>
              <w:bottom w:val="single" w:sz="4" w:space="0" w:color="auto"/>
              <w:right w:val="single" w:sz="4" w:space="0" w:color="auto"/>
            </w:tcBorders>
            <w:shd w:val="clear" w:color="auto" w:fill="auto"/>
            <w:vAlign w:val="center"/>
          </w:tcPr>
          <w:p w14:paraId="182BA24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技术服务</w:t>
            </w:r>
          </w:p>
        </w:tc>
        <w:tc>
          <w:tcPr>
            <w:tcW w:w="1186" w:type="dxa"/>
            <w:tcBorders>
              <w:top w:val="nil"/>
              <w:left w:val="nil"/>
              <w:bottom w:val="single" w:sz="4" w:space="0" w:color="auto"/>
              <w:right w:val="single" w:sz="4" w:space="0" w:color="auto"/>
            </w:tcBorders>
            <w:shd w:val="clear" w:color="auto" w:fill="auto"/>
            <w:vAlign w:val="center"/>
          </w:tcPr>
          <w:p w14:paraId="5CFCEB0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452</w:t>
            </w:r>
          </w:p>
        </w:tc>
        <w:tc>
          <w:tcPr>
            <w:tcW w:w="1418" w:type="dxa"/>
            <w:tcBorders>
              <w:top w:val="nil"/>
              <w:left w:val="nil"/>
              <w:bottom w:val="single" w:sz="4" w:space="0" w:color="auto"/>
              <w:right w:val="single" w:sz="4" w:space="0" w:color="auto"/>
            </w:tcBorders>
            <w:shd w:val="clear" w:color="auto" w:fill="auto"/>
            <w:vAlign w:val="center"/>
          </w:tcPr>
          <w:p w14:paraId="6DD28EE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14.5</w:t>
            </w:r>
          </w:p>
        </w:tc>
        <w:tc>
          <w:tcPr>
            <w:tcW w:w="1305" w:type="dxa"/>
            <w:tcBorders>
              <w:top w:val="nil"/>
              <w:left w:val="nil"/>
              <w:bottom w:val="single" w:sz="4" w:space="0" w:color="auto"/>
              <w:right w:val="single" w:sz="4" w:space="0" w:color="auto"/>
            </w:tcBorders>
            <w:shd w:val="clear" w:color="auto" w:fill="auto"/>
            <w:vAlign w:val="center"/>
          </w:tcPr>
          <w:p w14:paraId="41C19980"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48772.7</w:t>
            </w:r>
          </w:p>
        </w:tc>
        <w:tc>
          <w:tcPr>
            <w:tcW w:w="1240" w:type="dxa"/>
            <w:tcBorders>
              <w:top w:val="nil"/>
              <w:left w:val="nil"/>
              <w:bottom w:val="single" w:sz="4" w:space="0" w:color="auto"/>
              <w:right w:val="single" w:sz="4" w:space="0" w:color="auto"/>
            </w:tcBorders>
            <w:shd w:val="clear" w:color="auto" w:fill="auto"/>
            <w:vAlign w:val="center"/>
          </w:tcPr>
          <w:p w14:paraId="3B2A8BF5"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13.9</w:t>
            </w:r>
          </w:p>
        </w:tc>
        <w:tc>
          <w:tcPr>
            <w:tcW w:w="1424" w:type="dxa"/>
            <w:tcBorders>
              <w:top w:val="nil"/>
              <w:left w:val="nil"/>
              <w:bottom w:val="single" w:sz="4" w:space="0" w:color="auto"/>
              <w:right w:val="single" w:sz="4" w:space="0" w:color="auto"/>
            </w:tcBorders>
            <w:shd w:val="clear" w:color="auto" w:fill="auto"/>
            <w:vAlign w:val="center"/>
          </w:tcPr>
          <w:p w14:paraId="6A480247"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107.9</w:t>
            </w:r>
          </w:p>
        </w:tc>
      </w:tr>
      <w:tr w:rsidR="00637225" w:rsidRPr="0093704B" w14:paraId="2A999EF8"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0E7A9743"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4</w:t>
            </w:r>
          </w:p>
        </w:tc>
        <w:tc>
          <w:tcPr>
            <w:tcW w:w="1507" w:type="dxa"/>
            <w:tcBorders>
              <w:top w:val="nil"/>
              <w:left w:val="nil"/>
              <w:bottom w:val="single" w:sz="4" w:space="0" w:color="auto"/>
              <w:right w:val="single" w:sz="4" w:space="0" w:color="auto"/>
            </w:tcBorders>
            <w:shd w:val="clear" w:color="auto" w:fill="auto"/>
            <w:vAlign w:val="center"/>
          </w:tcPr>
          <w:p w14:paraId="1009961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效果评估</w:t>
            </w:r>
          </w:p>
        </w:tc>
        <w:tc>
          <w:tcPr>
            <w:tcW w:w="1186" w:type="dxa"/>
            <w:tcBorders>
              <w:top w:val="nil"/>
              <w:left w:val="nil"/>
              <w:bottom w:val="single" w:sz="4" w:space="0" w:color="auto"/>
              <w:right w:val="single" w:sz="4" w:space="0" w:color="auto"/>
            </w:tcBorders>
            <w:shd w:val="clear" w:color="auto" w:fill="auto"/>
            <w:vAlign w:val="center"/>
          </w:tcPr>
          <w:p w14:paraId="5AD0E04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128</w:t>
            </w:r>
          </w:p>
        </w:tc>
        <w:tc>
          <w:tcPr>
            <w:tcW w:w="1418" w:type="dxa"/>
            <w:tcBorders>
              <w:top w:val="nil"/>
              <w:left w:val="nil"/>
              <w:bottom w:val="single" w:sz="4" w:space="0" w:color="auto"/>
              <w:right w:val="single" w:sz="4" w:space="0" w:color="auto"/>
            </w:tcBorders>
            <w:shd w:val="clear" w:color="auto" w:fill="auto"/>
            <w:vAlign w:val="center"/>
          </w:tcPr>
          <w:p w14:paraId="1A37F1E9"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4.1</w:t>
            </w:r>
          </w:p>
        </w:tc>
        <w:tc>
          <w:tcPr>
            <w:tcW w:w="1305" w:type="dxa"/>
            <w:tcBorders>
              <w:top w:val="nil"/>
              <w:left w:val="nil"/>
              <w:bottom w:val="single" w:sz="4" w:space="0" w:color="auto"/>
              <w:right w:val="single" w:sz="4" w:space="0" w:color="auto"/>
            </w:tcBorders>
            <w:shd w:val="clear" w:color="auto" w:fill="auto"/>
            <w:vAlign w:val="center"/>
          </w:tcPr>
          <w:p w14:paraId="6F48386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14794.61</w:t>
            </w:r>
          </w:p>
        </w:tc>
        <w:tc>
          <w:tcPr>
            <w:tcW w:w="1240" w:type="dxa"/>
            <w:tcBorders>
              <w:top w:val="nil"/>
              <w:left w:val="nil"/>
              <w:bottom w:val="single" w:sz="4" w:space="0" w:color="auto"/>
              <w:right w:val="single" w:sz="4" w:space="0" w:color="auto"/>
            </w:tcBorders>
            <w:shd w:val="clear" w:color="auto" w:fill="auto"/>
            <w:vAlign w:val="center"/>
          </w:tcPr>
          <w:p w14:paraId="40A7DF0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4.2</w:t>
            </w:r>
          </w:p>
        </w:tc>
        <w:tc>
          <w:tcPr>
            <w:tcW w:w="1424" w:type="dxa"/>
            <w:tcBorders>
              <w:top w:val="nil"/>
              <w:left w:val="nil"/>
              <w:bottom w:val="single" w:sz="4" w:space="0" w:color="auto"/>
              <w:right w:val="single" w:sz="4" w:space="0" w:color="auto"/>
            </w:tcBorders>
            <w:shd w:val="clear" w:color="auto" w:fill="auto"/>
            <w:vAlign w:val="center"/>
          </w:tcPr>
          <w:p w14:paraId="032481F1"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115.58</w:t>
            </w:r>
          </w:p>
        </w:tc>
      </w:tr>
      <w:tr w:rsidR="00637225" w:rsidRPr="0093704B" w14:paraId="39347129"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62744E36"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5</w:t>
            </w:r>
          </w:p>
        </w:tc>
        <w:tc>
          <w:tcPr>
            <w:tcW w:w="1507" w:type="dxa"/>
            <w:tcBorders>
              <w:top w:val="nil"/>
              <w:left w:val="nil"/>
              <w:bottom w:val="single" w:sz="4" w:space="0" w:color="auto"/>
              <w:right w:val="single" w:sz="4" w:space="0" w:color="auto"/>
            </w:tcBorders>
            <w:shd w:val="clear" w:color="auto" w:fill="auto"/>
            <w:vAlign w:val="center"/>
          </w:tcPr>
          <w:p w14:paraId="22E94E5A"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方案编制</w:t>
            </w:r>
          </w:p>
        </w:tc>
        <w:tc>
          <w:tcPr>
            <w:tcW w:w="1186" w:type="dxa"/>
            <w:tcBorders>
              <w:top w:val="nil"/>
              <w:left w:val="nil"/>
              <w:bottom w:val="single" w:sz="4" w:space="0" w:color="auto"/>
              <w:right w:val="single" w:sz="4" w:space="0" w:color="auto"/>
            </w:tcBorders>
            <w:shd w:val="clear" w:color="auto" w:fill="auto"/>
            <w:vAlign w:val="center"/>
          </w:tcPr>
          <w:p w14:paraId="6B6F9947"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86</w:t>
            </w:r>
          </w:p>
        </w:tc>
        <w:tc>
          <w:tcPr>
            <w:tcW w:w="1418" w:type="dxa"/>
            <w:tcBorders>
              <w:top w:val="nil"/>
              <w:left w:val="nil"/>
              <w:bottom w:val="single" w:sz="4" w:space="0" w:color="auto"/>
              <w:right w:val="single" w:sz="4" w:space="0" w:color="auto"/>
            </w:tcBorders>
            <w:shd w:val="clear" w:color="auto" w:fill="auto"/>
            <w:vAlign w:val="center"/>
          </w:tcPr>
          <w:p w14:paraId="335816A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2.8</w:t>
            </w:r>
          </w:p>
        </w:tc>
        <w:tc>
          <w:tcPr>
            <w:tcW w:w="1305" w:type="dxa"/>
            <w:tcBorders>
              <w:top w:val="nil"/>
              <w:left w:val="nil"/>
              <w:bottom w:val="single" w:sz="4" w:space="0" w:color="auto"/>
              <w:right w:val="single" w:sz="4" w:space="0" w:color="auto"/>
            </w:tcBorders>
            <w:shd w:val="clear" w:color="auto" w:fill="auto"/>
            <w:vAlign w:val="center"/>
          </w:tcPr>
          <w:p w14:paraId="556ADB9D"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10810.93</w:t>
            </w:r>
          </w:p>
        </w:tc>
        <w:tc>
          <w:tcPr>
            <w:tcW w:w="1240" w:type="dxa"/>
            <w:tcBorders>
              <w:top w:val="nil"/>
              <w:left w:val="nil"/>
              <w:bottom w:val="single" w:sz="4" w:space="0" w:color="auto"/>
              <w:right w:val="single" w:sz="4" w:space="0" w:color="auto"/>
            </w:tcBorders>
            <w:shd w:val="clear" w:color="auto" w:fill="auto"/>
            <w:vAlign w:val="center"/>
          </w:tcPr>
          <w:p w14:paraId="7F77FE08"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3.1</w:t>
            </w:r>
          </w:p>
        </w:tc>
        <w:tc>
          <w:tcPr>
            <w:tcW w:w="1424" w:type="dxa"/>
            <w:tcBorders>
              <w:top w:val="nil"/>
              <w:left w:val="nil"/>
              <w:bottom w:val="single" w:sz="4" w:space="0" w:color="auto"/>
              <w:right w:val="single" w:sz="4" w:space="0" w:color="auto"/>
            </w:tcBorders>
            <w:shd w:val="clear" w:color="auto" w:fill="auto"/>
            <w:vAlign w:val="center"/>
          </w:tcPr>
          <w:p w14:paraId="39597D9B"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125.71</w:t>
            </w:r>
          </w:p>
        </w:tc>
      </w:tr>
      <w:tr w:rsidR="00637225" w:rsidRPr="0093704B" w14:paraId="10D0343E"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2BE6012C"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6</w:t>
            </w:r>
          </w:p>
        </w:tc>
        <w:tc>
          <w:tcPr>
            <w:tcW w:w="1507" w:type="dxa"/>
            <w:tcBorders>
              <w:top w:val="nil"/>
              <w:left w:val="nil"/>
              <w:bottom w:val="single" w:sz="4" w:space="0" w:color="auto"/>
              <w:right w:val="single" w:sz="4" w:space="0" w:color="auto"/>
            </w:tcBorders>
            <w:shd w:val="clear" w:color="auto" w:fill="auto"/>
            <w:vAlign w:val="center"/>
          </w:tcPr>
          <w:p w14:paraId="31C7AF34"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调查评估</w:t>
            </w:r>
            <w:r w:rsidRPr="0093704B">
              <w:rPr>
                <w:color w:val="000000"/>
                <w:kern w:val="0"/>
                <w:szCs w:val="21"/>
              </w:rPr>
              <w:t>+</w:t>
            </w:r>
          </w:p>
          <w:p w14:paraId="54993CE6"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方案编制</w:t>
            </w:r>
          </w:p>
        </w:tc>
        <w:tc>
          <w:tcPr>
            <w:tcW w:w="1186" w:type="dxa"/>
            <w:tcBorders>
              <w:top w:val="nil"/>
              <w:left w:val="nil"/>
              <w:bottom w:val="single" w:sz="4" w:space="0" w:color="auto"/>
              <w:right w:val="single" w:sz="4" w:space="0" w:color="auto"/>
            </w:tcBorders>
            <w:shd w:val="clear" w:color="auto" w:fill="auto"/>
            <w:vAlign w:val="center"/>
          </w:tcPr>
          <w:p w14:paraId="15C229AF"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24</w:t>
            </w:r>
          </w:p>
        </w:tc>
        <w:tc>
          <w:tcPr>
            <w:tcW w:w="1418" w:type="dxa"/>
            <w:tcBorders>
              <w:top w:val="nil"/>
              <w:left w:val="nil"/>
              <w:bottom w:val="single" w:sz="4" w:space="0" w:color="auto"/>
              <w:right w:val="single" w:sz="4" w:space="0" w:color="auto"/>
            </w:tcBorders>
            <w:shd w:val="clear" w:color="auto" w:fill="auto"/>
            <w:vAlign w:val="center"/>
          </w:tcPr>
          <w:p w14:paraId="54C5E827"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0.8</w:t>
            </w:r>
          </w:p>
        </w:tc>
        <w:tc>
          <w:tcPr>
            <w:tcW w:w="1305" w:type="dxa"/>
            <w:tcBorders>
              <w:top w:val="nil"/>
              <w:left w:val="nil"/>
              <w:bottom w:val="single" w:sz="4" w:space="0" w:color="auto"/>
              <w:right w:val="single" w:sz="4" w:space="0" w:color="auto"/>
            </w:tcBorders>
            <w:shd w:val="clear" w:color="auto" w:fill="auto"/>
            <w:vAlign w:val="center"/>
          </w:tcPr>
          <w:p w14:paraId="4768083E"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7420.19</w:t>
            </w:r>
          </w:p>
        </w:tc>
        <w:tc>
          <w:tcPr>
            <w:tcW w:w="1240" w:type="dxa"/>
            <w:tcBorders>
              <w:top w:val="nil"/>
              <w:left w:val="nil"/>
              <w:bottom w:val="single" w:sz="4" w:space="0" w:color="auto"/>
              <w:right w:val="single" w:sz="4" w:space="0" w:color="auto"/>
            </w:tcBorders>
            <w:shd w:val="clear" w:color="auto" w:fill="auto"/>
            <w:vAlign w:val="center"/>
          </w:tcPr>
          <w:p w14:paraId="7D1117D3"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2.1</w:t>
            </w:r>
          </w:p>
        </w:tc>
        <w:tc>
          <w:tcPr>
            <w:tcW w:w="1424" w:type="dxa"/>
            <w:tcBorders>
              <w:top w:val="nil"/>
              <w:left w:val="nil"/>
              <w:bottom w:val="single" w:sz="4" w:space="0" w:color="auto"/>
              <w:right w:val="single" w:sz="4" w:space="0" w:color="auto"/>
            </w:tcBorders>
            <w:shd w:val="clear" w:color="auto" w:fill="auto"/>
            <w:vAlign w:val="center"/>
          </w:tcPr>
          <w:p w14:paraId="13CBE9AC" w14:textId="77777777" w:rsidR="00637225" w:rsidRPr="0093704B" w:rsidRDefault="00286D31" w:rsidP="006013E0">
            <w:pPr>
              <w:widowControl/>
              <w:snapToGrid w:val="0"/>
              <w:spacing w:line="360" w:lineRule="auto"/>
              <w:jc w:val="center"/>
              <w:rPr>
                <w:color w:val="000000"/>
                <w:kern w:val="0"/>
                <w:szCs w:val="21"/>
              </w:rPr>
            </w:pPr>
            <w:r w:rsidRPr="0093704B">
              <w:rPr>
                <w:color w:val="000000"/>
                <w:kern w:val="0"/>
                <w:szCs w:val="21"/>
              </w:rPr>
              <w:t>309.17</w:t>
            </w:r>
          </w:p>
        </w:tc>
      </w:tr>
      <w:tr w:rsidR="00637225" w:rsidRPr="0093704B" w14:paraId="32EF0BEC" w14:textId="77777777">
        <w:trPr>
          <w:trHeight w:val="43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E70F050" w14:textId="77777777" w:rsidR="00637225" w:rsidRPr="0093704B" w:rsidRDefault="00637225" w:rsidP="006013E0">
            <w:pPr>
              <w:widowControl/>
              <w:snapToGrid w:val="0"/>
              <w:spacing w:line="360" w:lineRule="auto"/>
              <w:jc w:val="center"/>
              <w:rPr>
                <w:b/>
                <w:bCs/>
                <w:color w:val="000000"/>
                <w:kern w:val="0"/>
                <w:szCs w:val="21"/>
              </w:rPr>
            </w:pPr>
          </w:p>
        </w:tc>
        <w:tc>
          <w:tcPr>
            <w:tcW w:w="1507" w:type="dxa"/>
            <w:tcBorders>
              <w:top w:val="nil"/>
              <w:left w:val="nil"/>
              <w:bottom w:val="single" w:sz="4" w:space="0" w:color="auto"/>
              <w:right w:val="single" w:sz="4" w:space="0" w:color="auto"/>
            </w:tcBorders>
            <w:shd w:val="clear" w:color="auto" w:fill="auto"/>
            <w:vAlign w:val="center"/>
          </w:tcPr>
          <w:p w14:paraId="6DBFF2F8"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合计</w:t>
            </w:r>
          </w:p>
        </w:tc>
        <w:tc>
          <w:tcPr>
            <w:tcW w:w="1186" w:type="dxa"/>
            <w:tcBorders>
              <w:top w:val="nil"/>
              <w:left w:val="nil"/>
              <w:bottom w:val="single" w:sz="4" w:space="0" w:color="auto"/>
              <w:right w:val="single" w:sz="4" w:space="0" w:color="auto"/>
            </w:tcBorders>
            <w:shd w:val="clear" w:color="auto" w:fill="auto"/>
            <w:noWrap/>
            <w:vAlign w:val="center"/>
          </w:tcPr>
          <w:p w14:paraId="77D8FFFD"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3123</w:t>
            </w:r>
          </w:p>
        </w:tc>
        <w:tc>
          <w:tcPr>
            <w:tcW w:w="1418" w:type="dxa"/>
            <w:tcBorders>
              <w:top w:val="nil"/>
              <w:left w:val="nil"/>
              <w:bottom w:val="single" w:sz="4" w:space="0" w:color="auto"/>
              <w:right w:val="single" w:sz="4" w:space="0" w:color="auto"/>
            </w:tcBorders>
            <w:shd w:val="clear" w:color="auto" w:fill="auto"/>
            <w:noWrap/>
            <w:vAlign w:val="center"/>
          </w:tcPr>
          <w:p w14:paraId="5AE17C54" w14:textId="77777777" w:rsidR="00637225" w:rsidRPr="0093704B" w:rsidRDefault="00637225" w:rsidP="006013E0">
            <w:pPr>
              <w:widowControl/>
              <w:snapToGrid w:val="0"/>
              <w:spacing w:line="360" w:lineRule="auto"/>
              <w:jc w:val="center"/>
              <w:rPr>
                <w:b/>
                <w:bCs/>
                <w:color w:val="000000"/>
                <w:kern w:val="0"/>
                <w:szCs w:val="21"/>
              </w:rPr>
            </w:pPr>
          </w:p>
        </w:tc>
        <w:tc>
          <w:tcPr>
            <w:tcW w:w="1305" w:type="dxa"/>
            <w:tcBorders>
              <w:top w:val="nil"/>
              <w:left w:val="nil"/>
              <w:bottom w:val="single" w:sz="4" w:space="0" w:color="auto"/>
              <w:right w:val="single" w:sz="4" w:space="0" w:color="auto"/>
            </w:tcBorders>
            <w:shd w:val="clear" w:color="auto" w:fill="auto"/>
            <w:noWrap/>
            <w:vAlign w:val="center"/>
          </w:tcPr>
          <w:p w14:paraId="176B8041" w14:textId="77777777" w:rsidR="00637225" w:rsidRPr="0093704B" w:rsidRDefault="00286D31" w:rsidP="006013E0">
            <w:pPr>
              <w:widowControl/>
              <w:snapToGrid w:val="0"/>
              <w:spacing w:line="360" w:lineRule="auto"/>
              <w:jc w:val="center"/>
              <w:rPr>
                <w:b/>
                <w:bCs/>
                <w:color w:val="000000"/>
                <w:kern w:val="0"/>
                <w:szCs w:val="21"/>
              </w:rPr>
            </w:pPr>
            <w:r w:rsidRPr="0093704B">
              <w:rPr>
                <w:b/>
                <w:bCs/>
                <w:color w:val="000000"/>
                <w:kern w:val="0"/>
                <w:szCs w:val="21"/>
              </w:rPr>
              <w:t>350120</w:t>
            </w:r>
          </w:p>
        </w:tc>
        <w:tc>
          <w:tcPr>
            <w:tcW w:w="1240" w:type="dxa"/>
            <w:tcBorders>
              <w:top w:val="nil"/>
              <w:left w:val="nil"/>
              <w:bottom w:val="single" w:sz="4" w:space="0" w:color="auto"/>
              <w:right w:val="single" w:sz="4" w:space="0" w:color="auto"/>
            </w:tcBorders>
            <w:shd w:val="clear" w:color="auto" w:fill="auto"/>
            <w:noWrap/>
            <w:vAlign w:val="center"/>
          </w:tcPr>
          <w:p w14:paraId="1223FA02" w14:textId="77777777" w:rsidR="00637225" w:rsidRPr="0093704B" w:rsidRDefault="00637225" w:rsidP="006013E0">
            <w:pPr>
              <w:widowControl/>
              <w:snapToGrid w:val="0"/>
              <w:spacing w:line="360" w:lineRule="auto"/>
              <w:jc w:val="center"/>
              <w:rPr>
                <w:b/>
                <w:bCs/>
                <w:color w:val="000000"/>
                <w:kern w:val="0"/>
                <w:szCs w:val="21"/>
              </w:rPr>
            </w:pPr>
          </w:p>
        </w:tc>
        <w:tc>
          <w:tcPr>
            <w:tcW w:w="1424" w:type="dxa"/>
            <w:tcBorders>
              <w:top w:val="nil"/>
              <w:left w:val="nil"/>
              <w:bottom w:val="single" w:sz="4" w:space="0" w:color="auto"/>
              <w:right w:val="single" w:sz="4" w:space="0" w:color="auto"/>
            </w:tcBorders>
            <w:shd w:val="clear" w:color="auto" w:fill="auto"/>
            <w:noWrap/>
            <w:vAlign w:val="center"/>
          </w:tcPr>
          <w:p w14:paraId="093AE1A4" w14:textId="77777777" w:rsidR="00637225" w:rsidRPr="0093704B" w:rsidRDefault="00637225" w:rsidP="006013E0">
            <w:pPr>
              <w:widowControl/>
              <w:snapToGrid w:val="0"/>
              <w:spacing w:line="360" w:lineRule="auto"/>
              <w:jc w:val="center"/>
              <w:rPr>
                <w:b/>
                <w:bCs/>
                <w:color w:val="000000"/>
                <w:kern w:val="0"/>
                <w:szCs w:val="21"/>
              </w:rPr>
            </w:pPr>
          </w:p>
        </w:tc>
      </w:tr>
    </w:tbl>
    <w:p w14:paraId="50D08063"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2.1.3</w:t>
      </w:r>
      <w:r w:rsidRPr="002249DB">
        <w:rPr>
          <w:rFonts w:eastAsia="黑体" w:cs="Times New Roman" w:hint="eastAsia"/>
          <w:color w:val="000000" w:themeColor="text1"/>
          <w:sz w:val="28"/>
          <w:szCs w:val="28"/>
        </w:rPr>
        <w:t>项目金额分布</w:t>
      </w:r>
    </w:p>
    <w:p w14:paraId="69DA2529"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图</w:t>
      </w:r>
      <w:r>
        <w:rPr>
          <w:rFonts w:asciiTheme="minorEastAsia" w:eastAsiaTheme="minorEastAsia" w:hAnsiTheme="minorEastAsia"/>
          <w:sz w:val="24"/>
        </w:rPr>
        <w:t>2</w:t>
      </w:r>
      <w:r>
        <w:rPr>
          <w:rFonts w:asciiTheme="minorEastAsia" w:eastAsiaTheme="minorEastAsia" w:hAnsiTheme="minorEastAsia" w:hint="eastAsia"/>
          <w:sz w:val="24"/>
        </w:rPr>
        <w:t>-2是202</w:t>
      </w:r>
      <w:r>
        <w:rPr>
          <w:rFonts w:asciiTheme="minorEastAsia" w:eastAsiaTheme="minorEastAsia" w:hAnsiTheme="minorEastAsia"/>
          <w:sz w:val="24"/>
        </w:rPr>
        <w:t>1</w:t>
      </w:r>
      <w:r>
        <w:rPr>
          <w:rFonts w:asciiTheme="minorEastAsia" w:eastAsiaTheme="minorEastAsia" w:hAnsiTheme="minorEastAsia" w:hint="eastAsia"/>
          <w:sz w:val="24"/>
        </w:rPr>
        <w:t>年项目金额按照不同区间划分后的项目数量和金额占</w:t>
      </w:r>
      <w:proofErr w:type="gramStart"/>
      <w:r>
        <w:rPr>
          <w:rFonts w:asciiTheme="minorEastAsia" w:eastAsiaTheme="minorEastAsia" w:hAnsiTheme="minorEastAsia" w:hint="eastAsia"/>
          <w:sz w:val="24"/>
        </w:rPr>
        <w:t>比分析</w:t>
      </w:r>
      <w:proofErr w:type="gramEnd"/>
      <w:r>
        <w:rPr>
          <w:rFonts w:asciiTheme="minorEastAsia" w:eastAsiaTheme="minorEastAsia" w:hAnsiTheme="minorEastAsia" w:hint="eastAsia"/>
          <w:sz w:val="24"/>
        </w:rPr>
        <w:t>图。从图中可以看出，合同额在50万元以下的项目数量最多，数量为</w:t>
      </w:r>
      <w:r>
        <w:rPr>
          <w:rFonts w:asciiTheme="minorEastAsia" w:eastAsiaTheme="minorEastAsia" w:hAnsiTheme="minorEastAsia"/>
          <w:sz w:val="24"/>
        </w:rPr>
        <w:t>1571</w:t>
      </w:r>
      <w:r>
        <w:rPr>
          <w:rFonts w:asciiTheme="minorEastAsia" w:eastAsiaTheme="minorEastAsia" w:hAnsiTheme="minorEastAsia" w:hint="eastAsia"/>
          <w:sz w:val="24"/>
        </w:rPr>
        <w:t>个，数量占比为50.3%，项目金额</w:t>
      </w:r>
      <w:proofErr w:type="gramStart"/>
      <w:r>
        <w:rPr>
          <w:rFonts w:asciiTheme="minorEastAsia" w:eastAsiaTheme="minorEastAsia" w:hAnsiTheme="minorEastAsia" w:hint="eastAsia"/>
          <w:sz w:val="24"/>
        </w:rPr>
        <w:t>占咨询</w:t>
      </w:r>
      <w:proofErr w:type="gramEnd"/>
      <w:r>
        <w:rPr>
          <w:rFonts w:asciiTheme="minorEastAsia" w:eastAsiaTheme="minorEastAsia" w:hAnsiTheme="minorEastAsia" w:hint="eastAsia"/>
          <w:sz w:val="24"/>
        </w:rPr>
        <w:t>服务类项目金额的</w:t>
      </w:r>
      <w:r>
        <w:rPr>
          <w:rFonts w:asciiTheme="minorEastAsia" w:eastAsiaTheme="minorEastAsia" w:hAnsiTheme="minorEastAsia"/>
          <w:sz w:val="24"/>
        </w:rPr>
        <w:t>10.73</w:t>
      </w:r>
      <w:r>
        <w:rPr>
          <w:rFonts w:asciiTheme="minorEastAsia" w:eastAsiaTheme="minorEastAsia" w:hAnsiTheme="minorEastAsia" w:hint="eastAsia"/>
          <w:sz w:val="24"/>
        </w:rPr>
        <w:t>%；其次金额在100万</w:t>
      </w:r>
      <w:r>
        <w:rPr>
          <w:rFonts w:asciiTheme="minorEastAsia" w:eastAsiaTheme="minorEastAsia" w:hAnsiTheme="minorEastAsia"/>
          <w:sz w:val="24"/>
        </w:rPr>
        <w:t>～</w:t>
      </w:r>
      <w:r>
        <w:rPr>
          <w:rFonts w:asciiTheme="minorEastAsia" w:eastAsiaTheme="minorEastAsia" w:hAnsiTheme="minorEastAsia" w:hint="eastAsia"/>
          <w:sz w:val="24"/>
        </w:rPr>
        <w:t>500万元的项目数量排名第2，为8</w:t>
      </w:r>
      <w:r>
        <w:rPr>
          <w:rFonts w:asciiTheme="minorEastAsia" w:eastAsiaTheme="minorEastAsia" w:hAnsiTheme="minorEastAsia"/>
          <w:sz w:val="24"/>
        </w:rPr>
        <w:t>04</w:t>
      </w:r>
      <w:r>
        <w:rPr>
          <w:rFonts w:asciiTheme="minorEastAsia" w:eastAsiaTheme="minorEastAsia" w:hAnsiTheme="minorEastAsia" w:hint="eastAsia"/>
          <w:sz w:val="24"/>
        </w:rPr>
        <w:t>个，数量占比为</w:t>
      </w:r>
      <w:r>
        <w:rPr>
          <w:rFonts w:asciiTheme="minorEastAsia" w:eastAsiaTheme="minorEastAsia" w:hAnsiTheme="minorEastAsia"/>
          <w:sz w:val="24"/>
        </w:rPr>
        <w:t>26</w:t>
      </w:r>
      <w:r>
        <w:rPr>
          <w:rFonts w:asciiTheme="minorEastAsia" w:eastAsiaTheme="minorEastAsia" w:hAnsiTheme="minorEastAsia" w:hint="eastAsia"/>
          <w:sz w:val="24"/>
        </w:rPr>
        <w:t>%；50万</w:t>
      </w:r>
      <w:r>
        <w:rPr>
          <w:rFonts w:asciiTheme="minorEastAsia" w:eastAsiaTheme="minorEastAsia" w:hAnsiTheme="minorEastAsia"/>
          <w:sz w:val="24"/>
        </w:rPr>
        <w:t>～</w:t>
      </w:r>
      <w:r>
        <w:rPr>
          <w:rFonts w:asciiTheme="minorEastAsia" w:eastAsiaTheme="minorEastAsia" w:hAnsiTheme="minorEastAsia" w:hint="eastAsia"/>
          <w:sz w:val="24"/>
        </w:rPr>
        <w:t>100万元的项目数量6</w:t>
      </w:r>
      <w:r>
        <w:rPr>
          <w:rFonts w:asciiTheme="minorEastAsia" w:eastAsiaTheme="minorEastAsia" w:hAnsiTheme="minorEastAsia"/>
          <w:sz w:val="24"/>
        </w:rPr>
        <w:t>46</w:t>
      </w:r>
      <w:r>
        <w:rPr>
          <w:rFonts w:asciiTheme="minorEastAsia" w:eastAsiaTheme="minorEastAsia" w:hAnsiTheme="minorEastAsia" w:hint="eastAsia"/>
          <w:sz w:val="24"/>
        </w:rPr>
        <w:t>个，数量占比为2</w:t>
      </w:r>
      <w:r>
        <w:rPr>
          <w:rFonts w:asciiTheme="minorEastAsia" w:eastAsiaTheme="minorEastAsia" w:hAnsiTheme="minorEastAsia"/>
          <w:sz w:val="24"/>
        </w:rPr>
        <w:t>1</w:t>
      </w:r>
      <w:r>
        <w:rPr>
          <w:rFonts w:asciiTheme="minorEastAsia" w:eastAsiaTheme="minorEastAsia" w:hAnsiTheme="minorEastAsia" w:hint="eastAsia"/>
          <w:sz w:val="24"/>
        </w:rPr>
        <w:t>%。500万</w:t>
      </w:r>
      <w:r>
        <w:rPr>
          <w:rFonts w:asciiTheme="minorEastAsia" w:eastAsiaTheme="minorEastAsia" w:hAnsiTheme="minorEastAsia"/>
          <w:sz w:val="24"/>
        </w:rPr>
        <w:t>～</w:t>
      </w:r>
      <w:r>
        <w:rPr>
          <w:rFonts w:asciiTheme="minorEastAsia" w:eastAsiaTheme="minorEastAsia" w:hAnsiTheme="minorEastAsia" w:hint="eastAsia"/>
          <w:sz w:val="24"/>
        </w:rPr>
        <w:t>1000万元的项目数量</w:t>
      </w:r>
      <w:r>
        <w:rPr>
          <w:rFonts w:asciiTheme="minorEastAsia" w:eastAsiaTheme="minorEastAsia" w:hAnsiTheme="minorEastAsia"/>
          <w:sz w:val="24"/>
        </w:rPr>
        <w:t>78</w:t>
      </w:r>
      <w:r>
        <w:rPr>
          <w:rFonts w:asciiTheme="minorEastAsia" w:eastAsiaTheme="minorEastAsia" w:hAnsiTheme="minorEastAsia" w:hint="eastAsia"/>
          <w:sz w:val="24"/>
        </w:rPr>
        <w:t>个，占比</w:t>
      </w:r>
      <w:r>
        <w:rPr>
          <w:rFonts w:asciiTheme="minorEastAsia" w:eastAsiaTheme="minorEastAsia" w:hAnsiTheme="minorEastAsia"/>
          <w:sz w:val="24"/>
        </w:rPr>
        <w:t>2</w:t>
      </w:r>
      <w:r>
        <w:rPr>
          <w:rFonts w:asciiTheme="minorEastAsia" w:eastAsiaTheme="minorEastAsia" w:hAnsiTheme="minorEastAsia" w:hint="eastAsia"/>
          <w:sz w:val="24"/>
        </w:rPr>
        <w:t>%；金额在1000万元以上的项目数量</w:t>
      </w:r>
      <w:r>
        <w:rPr>
          <w:rFonts w:asciiTheme="minorEastAsia" w:eastAsiaTheme="minorEastAsia" w:hAnsiTheme="minorEastAsia"/>
          <w:sz w:val="24"/>
        </w:rPr>
        <w:t>21</w:t>
      </w:r>
      <w:r>
        <w:rPr>
          <w:rFonts w:asciiTheme="minorEastAsia" w:eastAsiaTheme="minorEastAsia" w:hAnsiTheme="minorEastAsia" w:hint="eastAsia"/>
          <w:sz w:val="24"/>
        </w:rPr>
        <w:t>个，占比1%。由此，2</w:t>
      </w:r>
      <w:r>
        <w:rPr>
          <w:rFonts w:asciiTheme="minorEastAsia" w:eastAsiaTheme="minorEastAsia" w:hAnsiTheme="minorEastAsia"/>
          <w:sz w:val="24"/>
        </w:rPr>
        <w:t>021</w:t>
      </w:r>
      <w:r>
        <w:rPr>
          <w:rFonts w:asciiTheme="minorEastAsia" w:eastAsiaTheme="minorEastAsia" w:hAnsiTheme="minorEastAsia" w:hint="eastAsia"/>
          <w:sz w:val="24"/>
        </w:rPr>
        <w:t>年咨询服务类项目</w:t>
      </w:r>
      <w:r>
        <w:rPr>
          <w:rFonts w:asciiTheme="minorEastAsia" w:eastAsiaTheme="minorEastAsia" w:hAnsiTheme="minorEastAsia" w:hint="eastAsia"/>
          <w:sz w:val="24"/>
        </w:rPr>
        <w:lastRenderedPageBreak/>
        <w:t>主要以小型项目为主，一方面，小型项目多为初步调查项目、监督性监测、环境监理等咨询项目，另一方面也在一定程度上体现出市场竞争激烈的现状，低价竞争在咨询行业仍然存在。</w:t>
      </w:r>
    </w:p>
    <w:p w14:paraId="70D095DF" w14:textId="77777777" w:rsidR="00637225" w:rsidRDefault="00286D31" w:rsidP="006013E0">
      <w:pPr>
        <w:snapToGrid w:val="0"/>
        <w:spacing w:line="360" w:lineRule="auto"/>
        <w:jc w:val="center"/>
        <w:rPr>
          <w:rFonts w:asciiTheme="minorEastAsia" w:eastAsiaTheme="minorEastAsia" w:hAnsiTheme="minorEastAsia"/>
          <w:sz w:val="24"/>
        </w:rPr>
      </w:pPr>
      <w:r>
        <w:rPr>
          <w:noProof/>
        </w:rPr>
        <w:drawing>
          <wp:inline distT="0" distB="0" distL="0" distR="0" wp14:anchorId="28C509B6" wp14:editId="45AB0F85">
            <wp:extent cx="3781425" cy="26550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784338" cy="2657050"/>
                    </a:xfrm>
                    <a:prstGeom prst="rect">
                      <a:avLst/>
                    </a:prstGeom>
                  </pic:spPr>
                </pic:pic>
              </a:graphicData>
            </a:graphic>
          </wp:inline>
        </w:drawing>
      </w:r>
    </w:p>
    <w:p w14:paraId="0D126F25"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2</w:t>
      </w:r>
      <w:r w:rsidRPr="002249DB">
        <w:rPr>
          <w:rFonts w:ascii="宋体" w:hAnsi="宋体" w:hint="eastAsia"/>
          <w:b/>
          <w:bCs/>
        </w:rPr>
        <w:t>-2 202</w:t>
      </w:r>
      <w:r w:rsidRPr="002249DB">
        <w:rPr>
          <w:rFonts w:ascii="宋体" w:hAnsi="宋体"/>
          <w:b/>
          <w:bCs/>
        </w:rPr>
        <w:t>1</w:t>
      </w:r>
      <w:r w:rsidRPr="002249DB">
        <w:rPr>
          <w:rFonts w:ascii="宋体" w:hAnsi="宋体" w:hint="eastAsia"/>
          <w:b/>
          <w:bCs/>
        </w:rPr>
        <w:t>年不同区间的咨询服务类项目数量和金额占比分析</w:t>
      </w:r>
    </w:p>
    <w:p w14:paraId="173E9DE9"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图</w:t>
      </w:r>
      <w:r w:rsidR="006420A5">
        <w:rPr>
          <w:rFonts w:asciiTheme="minorEastAsia" w:eastAsiaTheme="minorEastAsia" w:hAnsiTheme="minorEastAsia"/>
          <w:sz w:val="24"/>
        </w:rPr>
        <w:t>2</w:t>
      </w:r>
      <w:r>
        <w:rPr>
          <w:rFonts w:asciiTheme="minorEastAsia" w:eastAsiaTheme="minorEastAsia" w:hAnsiTheme="minorEastAsia" w:hint="eastAsia"/>
          <w:sz w:val="24"/>
        </w:rPr>
        <w:t>-3是202</w:t>
      </w:r>
      <w:r>
        <w:rPr>
          <w:rFonts w:asciiTheme="minorEastAsia" w:eastAsiaTheme="minorEastAsia" w:hAnsiTheme="minorEastAsia"/>
          <w:sz w:val="24"/>
        </w:rPr>
        <w:t>1</w:t>
      </w:r>
      <w:r>
        <w:rPr>
          <w:rFonts w:asciiTheme="minorEastAsia" w:eastAsiaTheme="minorEastAsia" w:hAnsiTheme="minorEastAsia" w:hint="eastAsia"/>
          <w:sz w:val="24"/>
        </w:rPr>
        <w:t>年与20</w:t>
      </w:r>
      <w:r>
        <w:rPr>
          <w:rFonts w:asciiTheme="minorEastAsia" w:eastAsiaTheme="minorEastAsia" w:hAnsiTheme="minorEastAsia"/>
          <w:sz w:val="24"/>
        </w:rPr>
        <w:t>20</w:t>
      </w:r>
      <w:r>
        <w:rPr>
          <w:rFonts w:asciiTheme="minorEastAsia" w:eastAsiaTheme="minorEastAsia" w:hAnsiTheme="minorEastAsia" w:hint="eastAsia"/>
          <w:sz w:val="24"/>
        </w:rPr>
        <w:t>年不同区间合同</w:t>
      </w:r>
      <w:proofErr w:type="gramStart"/>
      <w:r>
        <w:rPr>
          <w:rFonts w:asciiTheme="minorEastAsia" w:eastAsiaTheme="minorEastAsia" w:hAnsiTheme="minorEastAsia" w:hint="eastAsia"/>
          <w:sz w:val="24"/>
        </w:rPr>
        <w:t>额项目</w:t>
      </w:r>
      <w:proofErr w:type="gramEnd"/>
      <w:r>
        <w:rPr>
          <w:rFonts w:asciiTheme="minorEastAsia" w:eastAsiaTheme="minorEastAsia" w:hAnsiTheme="minorEastAsia" w:hint="eastAsia"/>
          <w:sz w:val="24"/>
        </w:rPr>
        <w:t>数量的对比。可以发现50万元以下小型项目的数量增加较为明显，500-1000万元和大于1000万元以上的大型咨询服务项目的数量都较2020年有所下降。2020年是“十三五”收官之年，当年咨询服务类项目合同金额达到了历史最高，接近40亿元。</w:t>
      </w:r>
    </w:p>
    <w:p w14:paraId="583CA15A" w14:textId="77777777" w:rsidR="00637225" w:rsidRDefault="00286D31" w:rsidP="006013E0">
      <w:pPr>
        <w:tabs>
          <w:tab w:val="left" w:pos="360"/>
        </w:tabs>
        <w:snapToGrid w:val="0"/>
        <w:spacing w:line="360" w:lineRule="auto"/>
        <w:jc w:val="center"/>
        <w:rPr>
          <w:rFonts w:asciiTheme="minorEastAsia" w:eastAsiaTheme="minorEastAsia" w:hAnsiTheme="minorEastAsia"/>
        </w:rPr>
      </w:pPr>
      <w:r>
        <w:rPr>
          <w:noProof/>
        </w:rPr>
        <w:drawing>
          <wp:inline distT="0" distB="0" distL="0" distR="0" wp14:anchorId="1EF72556" wp14:editId="12E69854">
            <wp:extent cx="5096510" cy="2775009"/>
            <wp:effectExtent l="0" t="0" r="889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107350" cy="2780911"/>
                    </a:xfrm>
                    <a:prstGeom prst="rect">
                      <a:avLst/>
                    </a:prstGeom>
                  </pic:spPr>
                </pic:pic>
              </a:graphicData>
            </a:graphic>
          </wp:inline>
        </w:drawing>
      </w:r>
    </w:p>
    <w:p w14:paraId="2906CBE5"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2</w:t>
      </w:r>
      <w:r w:rsidRPr="002249DB">
        <w:rPr>
          <w:rFonts w:ascii="宋体" w:hAnsi="宋体" w:hint="eastAsia"/>
          <w:b/>
          <w:bCs/>
        </w:rPr>
        <w:t>-3 202</w:t>
      </w:r>
      <w:r w:rsidRPr="002249DB">
        <w:rPr>
          <w:rFonts w:ascii="宋体" w:hAnsi="宋体"/>
          <w:b/>
          <w:bCs/>
        </w:rPr>
        <w:t>1</w:t>
      </w:r>
      <w:r w:rsidRPr="002249DB">
        <w:rPr>
          <w:rFonts w:ascii="宋体" w:hAnsi="宋体" w:hint="eastAsia"/>
          <w:b/>
          <w:bCs/>
        </w:rPr>
        <w:t>年与20</w:t>
      </w:r>
      <w:r w:rsidRPr="002249DB">
        <w:rPr>
          <w:rFonts w:ascii="宋体" w:hAnsi="宋体"/>
          <w:b/>
          <w:bCs/>
        </w:rPr>
        <w:t>20</w:t>
      </w:r>
      <w:r w:rsidRPr="002249DB">
        <w:rPr>
          <w:rFonts w:ascii="宋体" w:hAnsi="宋体" w:hint="eastAsia"/>
          <w:b/>
          <w:bCs/>
        </w:rPr>
        <w:t>年不同金额等级的咨询服务类项目数量对比</w:t>
      </w:r>
    </w:p>
    <w:p w14:paraId="04C8CDA3"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4" w:name="_Toc84571963"/>
      <w:r w:rsidRPr="002249DB">
        <w:rPr>
          <w:rFonts w:eastAsia="黑体" w:hint="eastAsia"/>
          <w:color w:val="000000" w:themeColor="text1"/>
        </w:rPr>
        <w:lastRenderedPageBreak/>
        <w:t>2.2</w:t>
      </w:r>
      <w:r w:rsidRPr="002249DB">
        <w:rPr>
          <w:rFonts w:eastAsia="黑体" w:hint="eastAsia"/>
          <w:color w:val="000000" w:themeColor="text1"/>
        </w:rPr>
        <w:t>项目空间分布</w:t>
      </w:r>
      <w:bookmarkEnd w:id="4"/>
    </w:p>
    <w:p w14:paraId="26859798"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2.2.1</w:t>
      </w:r>
      <w:r w:rsidRPr="002249DB">
        <w:rPr>
          <w:rFonts w:eastAsia="黑体" w:cs="Times New Roman" w:hint="eastAsia"/>
          <w:color w:val="000000" w:themeColor="text1"/>
          <w:sz w:val="28"/>
          <w:szCs w:val="28"/>
        </w:rPr>
        <w:t>重点省份</w:t>
      </w:r>
    </w:p>
    <w:p w14:paraId="6E157097"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图</w:t>
      </w:r>
      <w:r>
        <w:rPr>
          <w:rFonts w:asciiTheme="minorEastAsia" w:eastAsiaTheme="minorEastAsia" w:hAnsiTheme="minorEastAsia"/>
          <w:sz w:val="24"/>
        </w:rPr>
        <w:t>2</w:t>
      </w:r>
      <w:r>
        <w:rPr>
          <w:rFonts w:asciiTheme="minorEastAsia" w:eastAsiaTheme="minorEastAsia" w:hAnsiTheme="minorEastAsia" w:hint="eastAsia"/>
          <w:sz w:val="24"/>
        </w:rPr>
        <w:t>-4是202</w:t>
      </w:r>
      <w:r>
        <w:rPr>
          <w:rFonts w:asciiTheme="minorEastAsia" w:eastAsiaTheme="minorEastAsia" w:hAnsiTheme="minorEastAsia"/>
          <w:sz w:val="24"/>
        </w:rPr>
        <w:t>1</w:t>
      </w:r>
      <w:r>
        <w:rPr>
          <w:rFonts w:asciiTheme="minorEastAsia" w:eastAsiaTheme="minorEastAsia" w:hAnsiTheme="minorEastAsia" w:hint="eastAsia"/>
          <w:sz w:val="24"/>
        </w:rPr>
        <w:t>年3</w:t>
      </w:r>
      <w:r>
        <w:rPr>
          <w:rFonts w:asciiTheme="minorEastAsia" w:eastAsiaTheme="minorEastAsia" w:hAnsiTheme="minorEastAsia"/>
          <w:sz w:val="24"/>
        </w:rPr>
        <w:t>1</w:t>
      </w:r>
      <w:r>
        <w:rPr>
          <w:rFonts w:asciiTheme="minorEastAsia" w:eastAsiaTheme="minorEastAsia" w:hAnsiTheme="minorEastAsia" w:hint="eastAsia"/>
          <w:sz w:val="24"/>
        </w:rPr>
        <w:t>个省（区、市）咨询服务类项目金额和项目数量对比。</w:t>
      </w:r>
    </w:p>
    <w:p w14:paraId="478D50E8"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从项目金额来看，202</w:t>
      </w:r>
      <w:r>
        <w:rPr>
          <w:rFonts w:asciiTheme="minorEastAsia" w:eastAsiaTheme="minorEastAsia" w:hAnsiTheme="minorEastAsia"/>
          <w:sz w:val="24"/>
        </w:rPr>
        <w:t>1</w:t>
      </w:r>
      <w:r>
        <w:rPr>
          <w:rFonts w:asciiTheme="minorEastAsia" w:eastAsiaTheme="minorEastAsia" w:hAnsiTheme="minorEastAsia" w:hint="eastAsia"/>
          <w:sz w:val="24"/>
        </w:rPr>
        <w:t>年广东省项目金额最高，达到5.</w:t>
      </w:r>
      <w:r>
        <w:rPr>
          <w:rFonts w:asciiTheme="minorEastAsia" w:eastAsiaTheme="minorEastAsia" w:hAnsiTheme="minorEastAsia"/>
          <w:sz w:val="24"/>
        </w:rPr>
        <w:t>32</w:t>
      </w:r>
      <w:r>
        <w:rPr>
          <w:rFonts w:asciiTheme="minorEastAsia" w:eastAsiaTheme="minorEastAsia" w:hAnsiTheme="minorEastAsia" w:hint="eastAsia"/>
          <w:sz w:val="24"/>
        </w:rPr>
        <w:t>亿元，该省份已经连续3年居全国榜首。排名前2-5名的省份分别是江苏、山东、河北、浙江，项目金额在</w:t>
      </w:r>
      <w:r>
        <w:rPr>
          <w:rFonts w:asciiTheme="minorEastAsia" w:eastAsiaTheme="minorEastAsia" w:hAnsiTheme="minorEastAsia"/>
          <w:sz w:val="24"/>
        </w:rPr>
        <w:t>1.94</w:t>
      </w:r>
      <w:r>
        <w:rPr>
          <w:rFonts w:asciiTheme="minorEastAsia" w:eastAsiaTheme="minorEastAsia" w:hAnsiTheme="minorEastAsia" w:hint="eastAsia"/>
          <w:sz w:val="24"/>
        </w:rPr>
        <w:t>亿-</w:t>
      </w:r>
      <w:r>
        <w:rPr>
          <w:rFonts w:asciiTheme="minorEastAsia" w:eastAsiaTheme="minorEastAsia" w:hAnsiTheme="minorEastAsia"/>
          <w:sz w:val="24"/>
        </w:rPr>
        <w:t>4.03</w:t>
      </w:r>
      <w:r>
        <w:rPr>
          <w:rFonts w:asciiTheme="minorEastAsia" w:eastAsiaTheme="minorEastAsia" w:hAnsiTheme="minorEastAsia" w:hint="eastAsia"/>
          <w:sz w:val="24"/>
        </w:rPr>
        <w:t>亿元之间。排名6-15位的分别是河南、上海、江西、山西、重庆、天津、辽宁、广西、四川、北京，项目金额在</w:t>
      </w:r>
      <w:r>
        <w:rPr>
          <w:rFonts w:asciiTheme="minorEastAsia" w:eastAsiaTheme="minorEastAsia" w:hAnsiTheme="minorEastAsia"/>
          <w:sz w:val="24"/>
        </w:rPr>
        <w:t>0.91</w:t>
      </w:r>
      <w:r>
        <w:rPr>
          <w:rFonts w:asciiTheme="minorEastAsia" w:eastAsiaTheme="minorEastAsia" w:hAnsiTheme="minorEastAsia" w:hint="eastAsia"/>
          <w:sz w:val="24"/>
        </w:rPr>
        <w:t>亿-</w:t>
      </w:r>
      <w:r>
        <w:rPr>
          <w:rFonts w:asciiTheme="minorEastAsia" w:eastAsiaTheme="minorEastAsia" w:hAnsiTheme="minorEastAsia"/>
          <w:sz w:val="24"/>
        </w:rPr>
        <w:t>1.83</w:t>
      </w:r>
      <w:r>
        <w:rPr>
          <w:rFonts w:asciiTheme="minorEastAsia" w:eastAsiaTheme="minorEastAsia" w:hAnsiTheme="minorEastAsia" w:hint="eastAsia"/>
          <w:sz w:val="24"/>
        </w:rPr>
        <w:t>亿之间。西藏、青海、海南和宁夏等省（区）项目金额均在1000万元以下。</w:t>
      </w:r>
    </w:p>
    <w:p w14:paraId="1365BE75"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从项目数量来看，202</w:t>
      </w:r>
      <w:r>
        <w:rPr>
          <w:rFonts w:asciiTheme="minorEastAsia" w:eastAsiaTheme="minorEastAsia" w:hAnsiTheme="minorEastAsia"/>
          <w:sz w:val="24"/>
        </w:rPr>
        <w:t>1</w:t>
      </w:r>
      <w:r>
        <w:rPr>
          <w:rFonts w:asciiTheme="minorEastAsia" w:eastAsiaTheme="minorEastAsia" w:hAnsiTheme="minorEastAsia" w:hint="eastAsia"/>
          <w:sz w:val="24"/>
        </w:rPr>
        <w:t>年广东省项目数量最多，达到</w:t>
      </w:r>
      <w:r>
        <w:rPr>
          <w:rFonts w:asciiTheme="minorEastAsia" w:eastAsiaTheme="minorEastAsia" w:hAnsiTheme="minorEastAsia"/>
          <w:sz w:val="24"/>
        </w:rPr>
        <w:t>480</w:t>
      </w:r>
      <w:r>
        <w:rPr>
          <w:rFonts w:asciiTheme="minorEastAsia" w:eastAsiaTheme="minorEastAsia" w:hAnsiTheme="minorEastAsia" w:hint="eastAsia"/>
          <w:sz w:val="24"/>
        </w:rPr>
        <w:t>个，该省份咨询类项目无论是数量还是金额上均占据全国榜首。排在1-3名的广东、江苏、山东为第一梯队，项目数量均大于</w:t>
      </w:r>
      <w:r>
        <w:rPr>
          <w:rFonts w:asciiTheme="minorEastAsia" w:eastAsiaTheme="minorEastAsia" w:hAnsiTheme="minorEastAsia"/>
          <w:sz w:val="24"/>
        </w:rPr>
        <w:t>300</w:t>
      </w:r>
      <w:r>
        <w:rPr>
          <w:rFonts w:asciiTheme="minorEastAsia" w:eastAsiaTheme="minorEastAsia" w:hAnsiTheme="minorEastAsia" w:hint="eastAsia"/>
          <w:sz w:val="24"/>
        </w:rPr>
        <w:t>项。排在</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名的上海、浙江、重庆、辽宁、河北、江西为第二梯队，项目数量均大于100项。青海、西藏、海南、宁夏项目数量均在10个以下。</w:t>
      </w:r>
    </w:p>
    <w:p w14:paraId="414850BE" w14:textId="77777777" w:rsidR="00637225" w:rsidRDefault="00637225" w:rsidP="006013E0">
      <w:pPr>
        <w:snapToGrid w:val="0"/>
        <w:spacing w:line="360" w:lineRule="auto"/>
        <w:ind w:firstLineChars="200" w:firstLine="420"/>
        <w:rPr>
          <w:rFonts w:asciiTheme="minorEastAsia" w:eastAsiaTheme="minorEastAsia" w:hAnsiTheme="minorEastAsia"/>
        </w:rPr>
      </w:pPr>
    </w:p>
    <w:p w14:paraId="0E4E5262" w14:textId="77777777" w:rsidR="00637225" w:rsidRDefault="00286D31" w:rsidP="006013E0">
      <w:pPr>
        <w:snapToGrid w:val="0"/>
        <w:spacing w:line="360" w:lineRule="auto"/>
        <w:rPr>
          <w:rFonts w:asciiTheme="minorEastAsia" w:eastAsiaTheme="minorEastAsia" w:hAnsiTheme="minorEastAsia"/>
        </w:rPr>
      </w:pPr>
      <w:r>
        <w:rPr>
          <w:noProof/>
        </w:rPr>
        <w:lastRenderedPageBreak/>
        <w:drawing>
          <wp:inline distT="0" distB="0" distL="0" distR="0" wp14:anchorId="211EFF11" wp14:editId="3D2BE6F6">
            <wp:extent cx="2578100" cy="5588000"/>
            <wp:effectExtent l="0" t="0" r="12700" b="1270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r>
        <w:rPr>
          <w:noProof/>
        </w:rPr>
        <w:drawing>
          <wp:inline distT="0" distB="0" distL="0" distR="0" wp14:anchorId="58483AE7" wp14:editId="660895AB">
            <wp:extent cx="2546350" cy="5596255"/>
            <wp:effectExtent l="0" t="0" r="6350" b="44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BB2668"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2</w:t>
      </w:r>
      <w:r w:rsidRPr="002249DB">
        <w:rPr>
          <w:rFonts w:ascii="宋体" w:hAnsi="宋体" w:hint="eastAsia"/>
          <w:b/>
          <w:bCs/>
        </w:rPr>
        <w:t>-4 202</w:t>
      </w:r>
      <w:r w:rsidRPr="002249DB">
        <w:rPr>
          <w:rFonts w:ascii="宋体" w:hAnsi="宋体"/>
          <w:b/>
          <w:bCs/>
        </w:rPr>
        <w:t>1</w:t>
      </w:r>
      <w:r w:rsidRPr="002249DB">
        <w:rPr>
          <w:rFonts w:ascii="宋体" w:hAnsi="宋体" w:hint="eastAsia"/>
          <w:b/>
          <w:bCs/>
        </w:rPr>
        <w:t>年3</w:t>
      </w:r>
      <w:r w:rsidRPr="002249DB">
        <w:rPr>
          <w:rFonts w:ascii="宋体" w:hAnsi="宋体"/>
          <w:b/>
          <w:bCs/>
        </w:rPr>
        <w:t>1</w:t>
      </w:r>
      <w:r w:rsidRPr="002249DB">
        <w:rPr>
          <w:rFonts w:ascii="宋体" w:hAnsi="宋体" w:hint="eastAsia"/>
          <w:b/>
          <w:bCs/>
        </w:rPr>
        <w:t>个省（市、区）咨询服务类项目金额和项目数量对比</w:t>
      </w:r>
    </w:p>
    <w:p w14:paraId="3FBD5573"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2.2.2</w:t>
      </w:r>
      <w:r w:rsidRPr="002249DB">
        <w:rPr>
          <w:rFonts w:eastAsia="黑体" w:cs="Times New Roman" w:hint="eastAsia"/>
          <w:color w:val="000000" w:themeColor="text1"/>
          <w:sz w:val="28"/>
          <w:szCs w:val="28"/>
        </w:rPr>
        <w:t>重点城市</w:t>
      </w:r>
    </w:p>
    <w:p w14:paraId="5D83E562"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图</w:t>
      </w:r>
      <w:r>
        <w:rPr>
          <w:rFonts w:asciiTheme="minorEastAsia" w:eastAsiaTheme="minorEastAsia" w:hAnsiTheme="minorEastAsia"/>
          <w:sz w:val="24"/>
        </w:rPr>
        <w:t>2</w:t>
      </w:r>
      <w:r>
        <w:rPr>
          <w:rFonts w:asciiTheme="minorEastAsia" w:eastAsiaTheme="minorEastAsia" w:hAnsiTheme="minorEastAsia" w:hint="eastAsia"/>
          <w:sz w:val="24"/>
        </w:rPr>
        <w:t>-5是202</w:t>
      </w:r>
      <w:r>
        <w:rPr>
          <w:rFonts w:asciiTheme="minorEastAsia" w:eastAsiaTheme="minorEastAsia" w:hAnsiTheme="minorEastAsia"/>
          <w:sz w:val="24"/>
        </w:rPr>
        <w:t>1</w:t>
      </w:r>
      <w:r>
        <w:rPr>
          <w:rFonts w:asciiTheme="minorEastAsia" w:eastAsiaTheme="minorEastAsia" w:hAnsiTheme="minorEastAsia" w:hint="eastAsia"/>
          <w:sz w:val="24"/>
        </w:rPr>
        <w:t>年根据项目金额高低列出的10大热点城市情况。</w:t>
      </w:r>
      <w:r>
        <w:rPr>
          <w:rFonts w:asciiTheme="minorEastAsia" w:eastAsiaTheme="minorEastAsia" w:hAnsiTheme="minorEastAsia"/>
          <w:sz w:val="24"/>
        </w:rPr>
        <w:t>前10名城市分别是</w:t>
      </w:r>
      <w:r>
        <w:rPr>
          <w:rFonts w:asciiTheme="minorEastAsia" w:eastAsiaTheme="minorEastAsia" w:hAnsiTheme="minorEastAsia" w:hint="eastAsia"/>
          <w:sz w:val="24"/>
        </w:rPr>
        <w:t>广州（1.85亿元）、东莞（1.09亿元）、佛山（7700万元），以及唐山、青岛、苏州、济南、浦东新区、大同、杭州</w:t>
      </w:r>
      <w:r>
        <w:rPr>
          <w:rFonts w:asciiTheme="minorEastAsia" w:eastAsiaTheme="minorEastAsia" w:hAnsiTheme="minorEastAsia"/>
          <w:sz w:val="24"/>
        </w:rPr>
        <w:t>市</w:t>
      </w:r>
      <w:r>
        <w:rPr>
          <w:rFonts w:asciiTheme="minorEastAsia" w:eastAsiaTheme="minorEastAsia" w:hAnsiTheme="minorEastAsia" w:hint="eastAsia"/>
          <w:sz w:val="24"/>
        </w:rPr>
        <w:t>（各城市在5400万元-7600万元之间），</w:t>
      </w:r>
      <w:r>
        <w:rPr>
          <w:rFonts w:asciiTheme="minorEastAsia" w:eastAsiaTheme="minorEastAsia" w:hAnsiTheme="minorEastAsia"/>
          <w:sz w:val="24"/>
        </w:rPr>
        <w:t>项目金额合计8.21</w:t>
      </w:r>
      <w:r>
        <w:rPr>
          <w:rFonts w:asciiTheme="minorEastAsia" w:eastAsiaTheme="minorEastAsia" w:hAnsiTheme="minorEastAsia" w:hint="eastAsia"/>
          <w:sz w:val="24"/>
        </w:rPr>
        <w:t>亿元</w:t>
      </w:r>
      <w:r>
        <w:rPr>
          <w:rFonts w:asciiTheme="minorEastAsia" w:eastAsiaTheme="minorEastAsia" w:hAnsiTheme="minorEastAsia"/>
          <w:sz w:val="24"/>
        </w:rPr>
        <w:t>，占全国项目</w:t>
      </w:r>
      <w:r>
        <w:rPr>
          <w:rFonts w:asciiTheme="minorEastAsia" w:eastAsiaTheme="minorEastAsia" w:hAnsiTheme="minorEastAsia" w:hint="eastAsia"/>
          <w:sz w:val="24"/>
        </w:rPr>
        <w:t>总</w:t>
      </w:r>
      <w:r>
        <w:rPr>
          <w:rFonts w:asciiTheme="minorEastAsia" w:eastAsiaTheme="minorEastAsia" w:hAnsiTheme="minorEastAsia"/>
          <w:sz w:val="24"/>
        </w:rPr>
        <w:t>金额</w:t>
      </w:r>
      <w:r>
        <w:rPr>
          <w:rFonts w:asciiTheme="minorEastAsia" w:eastAsiaTheme="minorEastAsia" w:hAnsiTheme="minorEastAsia" w:hint="eastAsia"/>
          <w:sz w:val="24"/>
        </w:rPr>
        <w:t>的</w:t>
      </w:r>
      <w:r>
        <w:rPr>
          <w:rFonts w:asciiTheme="minorEastAsia" w:eastAsiaTheme="minorEastAsia" w:hAnsiTheme="minorEastAsia"/>
          <w:sz w:val="24"/>
        </w:rPr>
        <w:t>23.3%</w:t>
      </w:r>
      <w:r>
        <w:rPr>
          <w:rFonts w:asciiTheme="minorEastAsia" w:eastAsiaTheme="minorEastAsia" w:hAnsiTheme="minorEastAsia" w:hint="eastAsia"/>
          <w:sz w:val="24"/>
        </w:rPr>
        <w:t>。</w:t>
      </w:r>
      <w:r>
        <w:rPr>
          <w:rFonts w:asciiTheme="minorEastAsia" w:eastAsiaTheme="minorEastAsia" w:hAnsiTheme="minorEastAsia"/>
          <w:sz w:val="24"/>
        </w:rPr>
        <w:t>10个城市项目数量</w:t>
      </w:r>
      <w:r>
        <w:rPr>
          <w:rFonts w:asciiTheme="minorEastAsia" w:eastAsiaTheme="minorEastAsia" w:hAnsiTheme="minorEastAsia" w:hint="eastAsia"/>
          <w:sz w:val="24"/>
        </w:rPr>
        <w:t>合计</w:t>
      </w:r>
      <w:r>
        <w:rPr>
          <w:rFonts w:asciiTheme="minorEastAsia" w:eastAsiaTheme="minorEastAsia" w:hAnsiTheme="minorEastAsia"/>
          <w:sz w:val="24"/>
        </w:rPr>
        <w:t>656个，占全国项目</w:t>
      </w:r>
      <w:r>
        <w:rPr>
          <w:rFonts w:asciiTheme="minorEastAsia" w:eastAsiaTheme="minorEastAsia" w:hAnsiTheme="minorEastAsia" w:hint="eastAsia"/>
          <w:sz w:val="24"/>
        </w:rPr>
        <w:t>总</w:t>
      </w:r>
      <w:r>
        <w:rPr>
          <w:rFonts w:asciiTheme="minorEastAsia" w:eastAsiaTheme="minorEastAsia" w:hAnsiTheme="minorEastAsia"/>
          <w:sz w:val="24"/>
        </w:rPr>
        <w:t>量21%</w:t>
      </w:r>
      <w:r>
        <w:rPr>
          <w:rFonts w:asciiTheme="minorEastAsia" w:eastAsiaTheme="minorEastAsia" w:hAnsiTheme="minorEastAsia" w:hint="eastAsia"/>
          <w:sz w:val="24"/>
        </w:rPr>
        <w:t>。10个重点城市中有</w:t>
      </w:r>
      <w:r>
        <w:rPr>
          <w:rFonts w:asciiTheme="minorEastAsia" w:eastAsiaTheme="minorEastAsia" w:hAnsiTheme="minorEastAsia"/>
          <w:sz w:val="24"/>
        </w:rPr>
        <w:t>3</w:t>
      </w:r>
      <w:r>
        <w:rPr>
          <w:rFonts w:asciiTheme="minorEastAsia" w:eastAsiaTheme="minorEastAsia" w:hAnsiTheme="minorEastAsia" w:hint="eastAsia"/>
          <w:sz w:val="24"/>
        </w:rPr>
        <w:t>个城市位于广东省，且位于榜单前三，广东省是我国土壤治理修复行业发展最为热点、需求最为旺盛的省份。</w:t>
      </w:r>
    </w:p>
    <w:p w14:paraId="2803BAD1"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根据统计，20</w:t>
      </w:r>
      <w:r>
        <w:rPr>
          <w:rFonts w:asciiTheme="minorEastAsia" w:eastAsiaTheme="minorEastAsia" w:hAnsiTheme="minorEastAsia"/>
          <w:sz w:val="24"/>
        </w:rPr>
        <w:t>20</w:t>
      </w:r>
      <w:r>
        <w:rPr>
          <w:rFonts w:asciiTheme="minorEastAsia" w:eastAsiaTheme="minorEastAsia" w:hAnsiTheme="minorEastAsia" w:hint="eastAsia"/>
          <w:sz w:val="24"/>
        </w:rPr>
        <w:t>年10大热点城市分别是广州、石家庄、苏州、南京、深圳、红河、青岛、合肥、东莞、佛山；2019年10大热点城市分别是广州、呼和浩特、</w:t>
      </w:r>
      <w:r>
        <w:rPr>
          <w:rFonts w:asciiTheme="minorEastAsia" w:eastAsiaTheme="minorEastAsia" w:hAnsiTheme="minorEastAsia" w:hint="eastAsia"/>
          <w:sz w:val="24"/>
        </w:rPr>
        <w:lastRenderedPageBreak/>
        <w:t>东莞、昆明、天津北辰、佛山、南京、济南、苏州和青岛。202</w:t>
      </w:r>
      <w:r>
        <w:rPr>
          <w:rFonts w:asciiTheme="minorEastAsia" w:eastAsiaTheme="minorEastAsia" w:hAnsiTheme="minorEastAsia"/>
          <w:sz w:val="24"/>
        </w:rPr>
        <w:t>1</w:t>
      </w:r>
      <w:r>
        <w:rPr>
          <w:rFonts w:asciiTheme="minorEastAsia" w:eastAsiaTheme="minorEastAsia" w:hAnsiTheme="minorEastAsia" w:hint="eastAsia"/>
          <w:sz w:val="24"/>
        </w:rPr>
        <w:t>年与前两年相比，持续三年在10大热点城市名单内的城市包括广州、东莞、佛山、苏州等4个城市，其中广州连续3年蝉联热点城市榜首之位，新进入的城市包括唐山、浦东新区、大同、杭州等市（区）。</w:t>
      </w:r>
    </w:p>
    <w:p w14:paraId="3222B214" w14:textId="77777777" w:rsidR="00637225" w:rsidRDefault="0017065C" w:rsidP="006013E0">
      <w:pPr>
        <w:snapToGrid w:val="0"/>
        <w:spacing w:line="360" w:lineRule="auto"/>
        <w:jc w:val="center"/>
      </w:pPr>
      <w:r>
        <w:rPr>
          <w:noProof/>
        </w:rPr>
        <w:drawing>
          <wp:inline distT="0" distB="0" distL="0" distR="0" wp14:anchorId="7262B495" wp14:editId="58C319DC">
            <wp:extent cx="4507944" cy="2563128"/>
            <wp:effectExtent l="0" t="0" r="698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51"/>
                    <a:stretch/>
                  </pic:blipFill>
                  <pic:spPr bwMode="auto">
                    <a:xfrm>
                      <a:off x="0" y="0"/>
                      <a:ext cx="4520951" cy="2570524"/>
                    </a:xfrm>
                    <a:prstGeom prst="rect">
                      <a:avLst/>
                    </a:prstGeom>
                    <a:ln>
                      <a:noFill/>
                    </a:ln>
                    <a:extLst>
                      <a:ext uri="{53640926-AAD7-44D8-BBD7-CCE9431645EC}">
                        <a14:shadowObscured xmlns:a14="http://schemas.microsoft.com/office/drawing/2010/main"/>
                      </a:ext>
                    </a:extLst>
                  </pic:spPr>
                </pic:pic>
              </a:graphicData>
            </a:graphic>
          </wp:inline>
        </w:drawing>
      </w:r>
    </w:p>
    <w:p w14:paraId="78166E0C"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w:t>
      </w:r>
      <w:r w:rsidRPr="002249DB">
        <w:rPr>
          <w:rFonts w:ascii="宋体" w:hAnsi="宋体"/>
          <w:b/>
          <w:bCs/>
        </w:rPr>
        <w:t>2</w:t>
      </w:r>
      <w:r w:rsidRPr="002249DB">
        <w:rPr>
          <w:rFonts w:ascii="宋体" w:hAnsi="宋体" w:hint="eastAsia"/>
          <w:b/>
          <w:bCs/>
        </w:rPr>
        <w:t>-5 2020年咨询服务项目金额排列全国前10位的城市名单和项目金额</w:t>
      </w:r>
    </w:p>
    <w:p w14:paraId="0F88B8D3"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5" w:name="_Toc84571966"/>
      <w:r w:rsidRPr="002249DB">
        <w:rPr>
          <w:rFonts w:eastAsia="黑体" w:hint="eastAsia"/>
          <w:color w:val="000000" w:themeColor="text1"/>
        </w:rPr>
        <w:t>2.3</w:t>
      </w:r>
      <w:r w:rsidRPr="002249DB">
        <w:rPr>
          <w:rFonts w:eastAsia="黑体" w:hint="eastAsia"/>
          <w:color w:val="000000" w:themeColor="text1"/>
        </w:rPr>
        <w:t>重点咨询服务项目分析</w:t>
      </w:r>
      <w:bookmarkEnd w:id="5"/>
    </w:p>
    <w:p w14:paraId="0B2730E0"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w:t>
      </w:r>
      <w:r>
        <w:rPr>
          <w:rFonts w:asciiTheme="minorEastAsia" w:eastAsiaTheme="minorEastAsia" w:hAnsiTheme="minorEastAsia"/>
          <w:sz w:val="24"/>
        </w:rPr>
        <w:t>1</w:t>
      </w:r>
      <w:r>
        <w:rPr>
          <w:rFonts w:asciiTheme="minorEastAsia" w:eastAsiaTheme="minorEastAsia" w:hAnsiTheme="minorEastAsia" w:hint="eastAsia"/>
          <w:sz w:val="24"/>
        </w:rPr>
        <w:t>年项目金额排名前10位的项目基本信息如表</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所示。10个项目的金额为</w:t>
      </w:r>
      <w:r>
        <w:rPr>
          <w:rFonts w:asciiTheme="minorEastAsia" w:eastAsiaTheme="minorEastAsia" w:hAnsiTheme="minorEastAsia"/>
          <w:sz w:val="24"/>
        </w:rPr>
        <w:t>2.56</w:t>
      </w:r>
      <w:r>
        <w:rPr>
          <w:rFonts w:asciiTheme="minorEastAsia" w:eastAsiaTheme="minorEastAsia" w:hAnsiTheme="minorEastAsia" w:hint="eastAsia"/>
          <w:sz w:val="24"/>
        </w:rPr>
        <w:t>亿元，占全国咨询服务类项目金额的</w:t>
      </w:r>
      <w:r>
        <w:rPr>
          <w:rFonts w:asciiTheme="minorEastAsia" w:eastAsiaTheme="minorEastAsia" w:hAnsiTheme="minorEastAsia"/>
          <w:sz w:val="24"/>
        </w:rPr>
        <w:t>7.3</w:t>
      </w:r>
      <w:r>
        <w:rPr>
          <w:rFonts w:asciiTheme="minorEastAsia" w:eastAsiaTheme="minorEastAsia" w:hAnsiTheme="minorEastAsia" w:hint="eastAsia"/>
          <w:sz w:val="24"/>
        </w:rPr>
        <w:t>%。其中山西长治、大同等区域性地下水污染调查评估项目金额在</w:t>
      </w:r>
      <w:r>
        <w:rPr>
          <w:rFonts w:asciiTheme="minorEastAsia" w:eastAsiaTheme="minorEastAsia" w:hAnsiTheme="minorEastAsia"/>
          <w:sz w:val="24"/>
        </w:rPr>
        <w:t>2021年咨询服务项目中占据较大份额。</w:t>
      </w:r>
    </w:p>
    <w:p w14:paraId="798ABA05"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值得关注的是，排名前1</w:t>
      </w:r>
      <w:r>
        <w:rPr>
          <w:rFonts w:asciiTheme="minorEastAsia" w:eastAsiaTheme="minorEastAsia" w:hAnsiTheme="minorEastAsia"/>
          <w:sz w:val="24"/>
        </w:rPr>
        <w:t>0位</w:t>
      </w:r>
      <w:r>
        <w:rPr>
          <w:rFonts w:asciiTheme="minorEastAsia" w:eastAsiaTheme="minorEastAsia" w:hAnsiTheme="minorEastAsia" w:hint="eastAsia"/>
          <w:sz w:val="24"/>
        </w:rPr>
        <w:t>的重点咨询服务类项目中有7个项目包含了地下水调查工作，其中有5个为区域性地下水调查项目。可见地下水污染调查评估项目在2021年明显释放，2022年还将在国家地下水环境管理政策要求下继续释放此类型项目，值得市场关注。</w:t>
      </w:r>
    </w:p>
    <w:p w14:paraId="5A0F37F1"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w:t>
      </w:r>
      <w:r w:rsidRPr="002249DB">
        <w:rPr>
          <w:rFonts w:ascii="宋体" w:hAnsi="宋体"/>
          <w:b/>
          <w:bCs/>
        </w:rPr>
        <w:t>2</w:t>
      </w:r>
      <w:r w:rsidRPr="002249DB">
        <w:rPr>
          <w:rFonts w:ascii="宋体" w:hAnsi="宋体" w:hint="eastAsia"/>
          <w:b/>
          <w:bCs/>
        </w:rPr>
        <w:t>-</w:t>
      </w:r>
      <w:r w:rsidRPr="002249DB">
        <w:rPr>
          <w:rFonts w:ascii="宋体" w:hAnsi="宋体"/>
          <w:b/>
          <w:bCs/>
        </w:rPr>
        <w:t>2</w:t>
      </w:r>
      <w:r w:rsidRPr="002249DB">
        <w:rPr>
          <w:rFonts w:ascii="宋体" w:hAnsi="宋体" w:hint="eastAsia"/>
          <w:b/>
          <w:bCs/>
        </w:rPr>
        <w:t xml:space="preserve">  2021年咨询服务类项目金额排名前10位的项目基本信息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14"/>
        <w:gridCol w:w="1166"/>
        <w:gridCol w:w="1183"/>
        <w:gridCol w:w="2602"/>
      </w:tblGrid>
      <w:tr w:rsidR="00637225" w:rsidRPr="0093704B" w14:paraId="7AC027E3" w14:textId="77777777">
        <w:trPr>
          <w:trHeight w:val="397"/>
          <w:tblHeader/>
        </w:trPr>
        <w:tc>
          <w:tcPr>
            <w:tcW w:w="323" w:type="pct"/>
            <w:shd w:val="clear" w:color="auto" w:fill="auto"/>
            <w:vAlign w:val="center"/>
          </w:tcPr>
          <w:p w14:paraId="14E20892" w14:textId="77777777" w:rsidR="00637225" w:rsidRPr="0093704B" w:rsidRDefault="00286D31" w:rsidP="006013E0">
            <w:pPr>
              <w:widowControl/>
              <w:snapToGrid w:val="0"/>
              <w:spacing w:line="360" w:lineRule="auto"/>
              <w:jc w:val="center"/>
              <w:rPr>
                <w:rFonts w:asciiTheme="minorEastAsia" w:eastAsiaTheme="minorEastAsia" w:hAnsiTheme="minorEastAsia"/>
                <w:b/>
                <w:sz w:val="20"/>
                <w:szCs w:val="20"/>
              </w:rPr>
            </w:pPr>
            <w:bookmarkStart w:id="6" w:name="_Toc84571968"/>
            <w:r w:rsidRPr="0093704B">
              <w:rPr>
                <w:rFonts w:asciiTheme="minorEastAsia" w:eastAsiaTheme="minorEastAsia" w:hAnsiTheme="minorEastAsia" w:hint="eastAsia"/>
                <w:b/>
                <w:sz w:val="20"/>
                <w:szCs w:val="20"/>
              </w:rPr>
              <w:t>序号</w:t>
            </w:r>
          </w:p>
        </w:tc>
        <w:tc>
          <w:tcPr>
            <w:tcW w:w="1806" w:type="pct"/>
            <w:shd w:val="clear" w:color="auto" w:fill="auto"/>
            <w:vAlign w:val="center"/>
          </w:tcPr>
          <w:p w14:paraId="3E6F91B8" w14:textId="77777777" w:rsidR="00637225" w:rsidRPr="0093704B" w:rsidRDefault="00286D31" w:rsidP="006013E0">
            <w:pPr>
              <w:widowControl/>
              <w:snapToGrid w:val="0"/>
              <w:spacing w:line="360" w:lineRule="auto"/>
              <w:jc w:val="center"/>
              <w:rPr>
                <w:rFonts w:asciiTheme="minorEastAsia" w:eastAsiaTheme="minorEastAsia" w:hAnsiTheme="minorEastAsia"/>
                <w:b/>
                <w:sz w:val="20"/>
                <w:szCs w:val="20"/>
              </w:rPr>
            </w:pPr>
            <w:r w:rsidRPr="0093704B">
              <w:rPr>
                <w:rFonts w:asciiTheme="minorEastAsia" w:eastAsiaTheme="minorEastAsia" w:hAnsiTheme="minorEastAsia" w:hint="eastAsia"/>
                <w:b/>
                <w:sz w:val="20"/>
                <w:szCs w:val="20"/>
              </w:rPr>
              <w:t>项目名称</w:t>
            </w:r>
          </w:p>
        </w:tc>
        <w:tc>
          <w:tcPr>
            <w:tcW w:w="676" w:type="pct"/>
            <w:shd w:val="clear" w:color="auto" w:fill="auto"/>
            <w:vAlign w:val="center"/>
          </w:tcPr>
          <w:p w14:paraId="59362106" w14:textId="77777777" w:rsidR="00637225" w:rsidRPr="0093704B" w:rsidRDefault="00286D31" w:rsidP="006013E0">
            <w:pPr>
              <w:widowControl/>
              <w:snapToGrid w:val="0"/>
              <w:spacing w:line="360" w:lineRule="auto"/>
              <w:jc w:val="center"/>
              <w:rPr>
                <w:rFonts w:asciiTheme="minorEastAsia" w:eastAsiaTheme="minorEastAsia" w:hAnsiTheme="minorEastAsia"/>
                <w:b/>
                <w:sz w:val="20"/>
                <w:szCs w:val="20"/>
              </w:rPr>
            </w:pPr>
            <w:r w:rsidRPr="0093704B">
              <w:rPr>
                <w:rFonts w:asciiTheme="minorEastAsia" w:eastAsiaTheme="minorEastAsia" w:hAnsiTheme="minorEastAsia" w:hint="eastAsia"/>
                <w:b/>
                <w:sz w:val="20"/>
                <w:szCs w:val="20"/>
              </w:rPr>
              <w:t>项目类别</w:t>
            </w:r>
          </w:p>
        </w:tc>
        <w:tc>
          <w:tcPr>
            <w:tcW w:w="686" w:type="pct"/>
            <w:shd w:val="clear" w:color="auto" w:fill="auto"/>
            <w:vAlign w:val="center"/>
          </w:tcPr>
          <w:p w14:paraId="0C9DD393" w14:textId="77777777" w:rsidR="00637225" w:rsidRPr="0093704B" w:rsidRDefault="00286D31" w:rsidP="006013E0">
            <w:pPr>
              <w:widowControl/>
              <w:snapToGrid w:val="0"/>
              <w:spacing w:line="360" w:lineRule="auto"/>
              <w:jc w:val="center"/>
              <w:rPr>
                <w:rFonts w:asciiTheme="minorEastAsia" w:eastAsiaTheme="minorEastAsia" w:hAnsiTheme="minorEastAsia"/>
                <w:b/>
                <w:sz w:val="20"/>
                <w:szCs w:val="20"/>
              </w:rPr>
            </w:pPr>
            <w:r w:rsidRPr="0093704B">
              <w:rPr>
                <w:rFonts w:asciiTheme="minorEastAsia" w:eastAsiaTheme="minorEastAsia" w:hAnsiTheme="minorEastAsia" w:hint="eastAsia"/>
                <w:b/>
                <w:sz w:val="20"/>
                <w:szCs w:val="20"/>
              </w:rPr>
              <w:t>项目金额/万元</w:t>
            </w:r>
          </w:p>
        </w:tc>
        <w:tc>
          <w:tcPr>
            <w:tcW w:w="1509" w:type="pct"/>
            <w:shd w:val="clear" w:color="auto" w:fill="auto"/>
            <w:vAlign w:val="center"/>
          </w:tcPr>
          <w:p w14:paraId="1DCA7390" w14:textId="77777777" w:rsidR="00637225" w:rsidRPr="0093704B" w:rsidRDefault="00286D31" w:rsidP="006013E0">
            <w:pPr>
              <w:widowControl/>
              <w:snapToGrid w:val="0"/>
              <w:spacing w:line="360" w:lineRule="auto"/>
              <w:jc w:val="center"/>
              <w:rPr>
                <w:rFonts w:asciiTheme="minorEastAsia" w:eastAsiaTheme="minorEastAsia" w:hAnsiTheme="minorEastAsia"/>
                <w:b/>
                <w:sz w:val="20"/>
                <w:szCs w:val="20"/>
              </w:rPr>
            </w:pPr>
            <w:r w:rsidRPr="0093704B">
              <w:rPr>
                <w:rFonts w:asciiTheme="minorEastAsia" w:eastAsiaTheme="minorEastAsia" w:hAnsiTheme="minorEastAsia" w:hint="eastAsia"/>
                <w:b/>
                <w:sz w:val="20"/>
                <w:szCs w:val="20"/>
              </w:rPr>
              <w:t>中标单位</w:t>
            </w:r>
          </w:p>
        </w:tc>
      </w:tr>
      <w:tr w:rsidR="00637225" w:rsidRPr="0093704B" w14:paraId="7252E515" w14:textId="77777777">
        <w:trPr>
          <w:trHeight w:val="397"/>
        </w:trPr>
        <w:tc>
          <w:tcPr>
            <w:tcW w:w="323" w:type="pct"/>
            <w:shd w:val="clear" w:color="auto" w:fill="auto"/>
            <w:vAlign w:val="center"/>
          </w:tcPr>
          <w:p w14:paraId="38C721BB"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1</w:t>
            </w:r>
          </w:p>
        </w:tc>
        <w:tc>
          <w:tcPr>
            <w:tcW w:w="1806" w:type="pct"/>
            <w:shd w:val="clear" w:color="auto" w:fill="auto"/>
            <w:vAlign w:val="center"/>
          </w:tcPr>
          <w:p w14:paraId="4A65DCEC"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长治市重点地区地下水污染状况调查评估项目</w:t>
            </w:r>
          </w:p>
        </w:tc>
        <w:tc>
          <w:tcPr>
            <w:tcW w:w="676" w:type="pct"/>
            <w:shd w:val="clear" w:color="auto" w:fill="auto"/>
            <w:vAlign w:val="center"/>
          </w:tcPr>
          <w:p w14:paraId="40D9295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6613E61D"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3560.00 </w:t>
            </w:r>
          </w:p>
        </w:tc>
        <w:tc>
          <w:tcPr>
            <w:tcW w:w="1509" w:type="pct"/>
            <w:shd w:val="clear" w:color="auto" w:fill="auto"/>
            <w:vAlign w:val="center"/>
          </w:tcPr>
          <w:p w14:paraId="246FDBE0"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山西华境清治环保科技有限公司、山西省地质调查院（联合体）</w:t>
            </w:r>
          </w:p>
        </w:tc>
      </w:tr>
      <w:tr w:rsidR="00637225" w:rsidRPr="0093704B" w14:paraId="023DCC44" w14:textId="77777777">
        <w:trPr>
          <w:trHeight w:val="397"/>
        </w:trPr>
        <w:tc>
          <w:tcPr>
            <w:tcW w:w="323" w:type="pct"/>
            <w:shd w:val="clear" w:color="auto" w:fill="auto"/>
            <w:vAlign w:val="center"/>
          </w:tcPr>
          <w:p w14:paraId="712B461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2</w:t>
            </w:r>
          </w:p>
        </w:tc>
        <w:tc>
          <w:tcPr>
            <w:tcW w:w="1806" w:type="pct"/>
            <w:shd w:val="clear" w:color="auto" w:fill="auto"/>
            <w:vAlign w:val="center"/>
          </w:tcPr>
          <w:p w14:paraId="242DF7E4"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大同市重点地区地下水污染状况调查评估项目</w:t>
            </w:r>
          </w:p>
        </w:tc>
        <w:tc>
          <w:tcPr>
            <w:tcW w:w="676" w:type="pct"/>
            <w:shd w:val="clear" w:color="auto" w:fill="auto"/>
            <w:vAlign w:val="center"/>
          </w:tcPr>
          <w:p w14:paraId="128BBD92"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15F4586B"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3481.00 </w:t>
            </w:r>
          </w:p>
        </w:tc>
        <w:tc>
          <w:tcPr>
            <w:tcW w:w="1509" w:type="pct"/>
            <w:shd w:val="clear" w:color="auto" w:fill="auto"/>
            <w:vAlign w:val="center"/>
          </w:tcPr>
          <w:p w14:paraId="59F0B432"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山西省交通环境保护中心站</w:t>
            </w:r>
          </w:p>
        </w:tc>
      </w:tr>
      <w:tr w:rsidR="00637225" w:rsidRPr="0093704B" w14:paraId="4E3B441C" w14:textId="77777777">
        <w:trPr>
          <w:trHeight w:val="397"/>
        </w:trPr>
        <w:tc>
          <w:tcPr>
            <w:tcW w:w="323" w:type="pct"/>
            <w:shd w:val="clear" w:color="auto" w:fill="auto"/>
            <w:vAlign w:val="center"/>
          </w:tcPr>
          <w:p w14:paraId="17D207F9"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3</w:t>
            </w:r>
          </w:p>
        </w:tc>
        <w:tc>
          <w:tcPr>
            <w:tcW w:w="1806" w:type="pct"/>
            <w:shd w:val="clear" w:color="auto" w:fill="auto"/>
            <w:vAlign w:val="center"/>
          </w:tcPr>
          <w:p w14:paraId="6F88A8E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bookmarkStart w:id="7" w:name="_Hlk93328362"/>
            <w:proofErr w:type="gramStart"/>
            <w:r w:rsidRPr="0093704B">
              <w:rPr>
                <w:rFonts w:hint="eastAsia"/>
                <w:sz w:val="20"/>
                <w:szCs w:val="20"/>
              </w:rPr>
              <w:t>河钢唐</w:t>
            </w:r>
            <w:proofErr w:type="gramEnd"/>
            <w:r w:rsidRPr="0093704B">
              <w:rPr>
                <w:rFonts w:hint="eastAsia"/>
                <w:sz w:val="20"/>
                <w:szCs w:val="20"/>
              </w:rPr>
              <w:t>钢老工业区搬迁（路北区）</w:t>
            </w:r>
            <w:r w:rsidRPr="0093704B">
              <w:rPr>
                <w:rFonts w:hint="eastAsia"/>
                <w:sz w:val="20"/>
                <w:szCs w:val="20"/>
              </w:rPr>
              <w:lastRenderedPageBreak/>
              <w:t>项目土地污染治理项目环境调查评估</w:t>
            </w:r>
            <w:bookmarkEnd w:id="7"/>
          </w:p>
        </w:tc>
        <w:tc>
          <w:tcPr>
            <w:tcW w:w="676" w:type="pct"/>
            <w:shd w:val="clear" w:color="auto" w:fill="auto"/>
            <w:vAlign w:val="center"/>
          </w:tcPr>
          <w:p w14:paraId="68C5C29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lastRenderedPageBreak/>
              <w:t>调查评估</w:t>
            </w:r>
          </w:p>
        </w:tc>
        <w:tc>
          <w:tcPr>
            <w:tcW w:w="686" w:type="pct"/>
            <w:shd w:val="clear" w:color="auto" w:fill="auto"/>
            <w:vAlign w:val="center"/>
          </w:tcPr>
          <w:p w14:paraId="05C839E3"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2984.42 </w:t>
            </w:r>
          </w:p>
        </w:tc>
        <w:tc>
          <w:tcPr>
            <w:tcW w:w="1509" w:type="pct"/>
            <w:shd w:val="clear" w:color="auto" w:fill="auto"/>
            <w:vAlign w:val="center"/>
          </w:tcPr>
          <w:p w14:paraId="6D61710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proofErr w:type="gramStart"/>
            <w:r w:rsidRPr="0093704B">
              <w:rPr>
                <w:rFonts w:hint="eastAsia"/>
                <w:sz w:val="20"/>
                <w:szCs w:val="20"/>
              </w:rPr>
              <w:t>河钢工业</w:t>
            </w:r>
            <w:proofErr w:type="gramEnd"/>
            <w:r w:rsidRPr="0093704B">
              <w:rPr>
                <w:rFonts w:hint="eastAsia"/>
                <w:sz w:val="20"/>
                <w:szCs w:val="20"/>
              </w:rPr>
              <w:t>技术服务有限公</w:t>
            </w:r>
            <w:r w:rsidRPr="0093704B">
              <w:rPr>
                <w:rFonts w:hint="eastAsia"/>
                <w:sz w:val="20"/>
                <w:szCs w:val="20"/>
              </w:rPr>
              <w:lastRenderedPageBreak/>
              <w:t>司</w:t>
            </w:r>
            <w:r w:rsidRPr="0093704B">
              <w:rPr>
                <w:rFonts w:hint="eastAsia"/>
                <w:sz w:val="20"/>
                <w:szCs w:val="20"/>
              </w:rPr>
              <w:t>&amp;</w:t>
            </w:r>
            <w:r w:rsidRPr="0093704B">
              <w:rPr>
                <w:rFonts w:hint="eastAsia"/>
                <w:sz w:val="20"/>
                <w:szCs w:val="20"/>
              </w:rPr>
              <w:t>河北省众联能源环保科技有限公司联合体</w:t>
            </w:r>
          </w:p>
        </w:tc>
      </w:tr>
      <w:tr w:rsidR="00637225" w:rsidRPr="0093704B" w14:paraId="5DD0E5ED" w14:textId="77777777">
        <w:trPr>
          <w:trHeight w:val="397"/>
        </w:trPr>
        <w:tc>
          <w:tcPr>
            <w:tcW w:w="323" w:type="pct"/>
            <w:shd w:val="clear" w:color="auto" w:fill="auto"/>
            <w:vAlign w:val="center"/>
          </w:tcPr>
          <w:p w14:paraId="52B0C32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lastRenderedPageBreak/>
              <w:t>4</w:t>
            </w:r>
          </w:p>
        </w:tc>
        <w:tc>
          <w:tcPr>
            <w:tcW w:w="1806" w:type="pct"/>
            <w:shd w:val="clear" w:color="auto" w:fill="auto"/>
            <w:vAlign w:val="center"/>
          </w:tcPr>
          <w:p w14:paraId="623BBF54"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黄河流域洛河支流洛宁段矿山开采及工业集聚区地下水环境状况调查</w:t>
            </w:r>
          </w:p>
        </w:tc>
        <w:tc>
          <w:tcPr>
            <w:tcW w:w="676" w:type="pct"/>
            <w:shd w:val="clear" w:color="auto" w:fill="auto"/>
            <w:vAlign w:val="center"/>
          </w:tcPr>
          <w:p w14:paraId="2927E5A4"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7AA17C2C"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2760.00 </w:t>
            </w:r>
          </w:p>
        </w:tc>
        <w:tc>
          <w:tcPr>
            <w:tcW w:w="1509" w:type="pct"/>
            <w:shd w:val="clear" w:color="auto" w:fill="auto"/>
            <w:vAlign w:val="center"/>
          </w:tcPr>
          <w:p w14:paraId="20259BA6"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河南省地质矿产勘查开发局第一地质矿产调查院</w:t>
            </w:r>
          </w:p>
        </w:tc>
      </w:tr>
      <w:tr w:rsidR="00637225" w:rsidRPr="0093704B" w14:paraId="70CB3443" w14:textId="77777777">
        <w:trPr>
          <w:trHeight w:val="397"/>
        </w:trPr>
        <w:tc>
          <w:tcPr>
            <w:tcW w:w="323" w:type="pct"/>
            <w:shd w:val="clear" w:color="auto" w:fill="auto"/>
            <w:vAlign w:val="center"/>
          </w:tcPr>
          <w:p w14:paraId="32119EE6"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5</w:t>
            </w:r>
          </w:p>
        </w:tc>
        <w:tc>
          <w:tcPr>
            <w:tcW w:w="1806" w:type="pct"/>
            <w:shd w:val="clear" w:color="auto" w:fill="auto"/>
            <w:vAlign w:val="center"/>
          </w:tcPr>
          <w:p w14:paraId="6909A350"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浙江台州化学原料药产业园区椒江区块管委会椒江</w:t>
            </w:r>
            <w:proofErr w:type="gramStart"/>
            <w:r w:rsidRPr="0093704B">
              <w:rPr>
                <w:rFonts w:hint="eastAsia"/>
                <w:sz w:val="20"/>
                <w:szCs w:val="20"/>
              </w:rPr>
              <w:t>医</w:t>
            </w:r>
            <w:proofErr w:type="gramEnd"/>
            <w:r w:rsidRPr="0093704B">
              <w:rPr>
                <w:rFonts w:hint="eastAsia"/>
                <w:sz w:val="20"/>
                <w:szCs w:val="20"/>
              </w:rPr>
              <w:t>化园区土壤地下水调查评估与协同防治方案编制项目</w:t>
            </w:r>
          </w:p>
        </w:tc>
        <w:tc>
          <w:tcPr>
            <w:tcW w:w="676" w:type="pct"/>
            <w:shd w:val="clear" w:color="auto" w:fill="auto"/>
            <w:noWrap/>
            <w:vAlign w:val="center"/>
          </w:tcPr>
          <w:p w14:paraId="31CB1206"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方案编制</w:t>
            </w:r>
          </w:p>
        </w:tc>
        <w:tc>
          <w:tcPr>
            <w:tcW w:w="686" w:type="pct"/>
            <w:shd w:val="clear" w:color="auto" w:fill="auto"/>
            <w:vAlign w:val="center"/>
          </w:tcPr>
          <w:p w14:paraId="567F417A"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2710.30 </w:t>
            </w:r>
          </w:p>
        </w:tc>
        <w:tc>
          <w:tcPr>
            <w:tcW w:w="1509" w:type="pct"/>
            <w:shd w:val="clear" w:color="auto" w:fill="auto"/>
            <w:vAlign w:val="center"/>
          </w:tcPr>
          <w:p w14:paraId="6AFFC23B"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中国环境科学研究院、台州</w:t>
            </w:r>
            <w:proofErr w:type="gramStart"/>
            <w:r w:rsidRPr="0093704B">
              <w:rPr>
                <w:rFonts w:hint="eastAsia"/>
                <w:sz w:val="20"/>
                <w:szCs w:val="20"/>
              </w:rPr>
              <w:t>市污染</w:t>
            </w:r>
            <w:proofErr w:type="gramEnd"/>
            <w:r w:rsidRPr="0093704B">
              <w:rPr>
                <w:rFonts w:hint="eastAsia"/>
                <w:sz w:val="20"/>
                <w:szCs w:val="20"/>
              </w:rPr>
              <w:t>防治工程技术中心、浙江大学能源工程设计研究院有限公司（联合体）</w:t>
            </w:r>
          </w:p>
        </w:tc>
      </w:tr>
      <w:tr w:rsidR="00637225" w:rsidRPr="0093704B" w14:paraId="06F24EE5" w14:textId="77777777">
        <w:trPr>
          <w:trHeight w:val="397"/>
        </w:trPr>
        <w:tc>
          <w:tcPr>
            <w:tcW w:w="323" w:type="pct"/>
            <w:shd w:val="clear" w:color="auto" w:fill="auto"/>
            <w:vAlign w:val="center"/>
          </w:tcPr>
          <w:p w14:paraId="3EA0DEA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6</w:t>
            </w:r>
          </w:p>
        </w:tc>
        <w:tc>
          <w:tcPr>
            <w:tcW w:w="1806" w:type="pct"/>
            <w:shd w:val="clear" w:color="auto" w:fill="auto"/>
            <w:vAlign w:val="center"/>
          </w:tcPr>
          <w:p w14:paraId="3C8AB7A9"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bookmarkStart w:id="8" w:name="_Hlk92722701"/>
            <w:r w:rsidRPr="0093704B">
              <w:rPr>
                <w:rFonts w:hint="eastAsia"/>
                <w:sz w:val="20"/>
                <w:szCs w:val="20"/>
              </w:rPr>
              <w:t>鹤壁市鹤山区地下水污染调查项目</w:t>
            </w:r>
            <w:bookmarkEnd w:id="8"/>
          </w:p>
        </w:tc>
        <w:tc>
          <w:tcPr>
            <w:tcW w:w="676" w:type="pct"/>
            <w:shd w:val="clear" w:color="auto" w:fill="auto"/>
            <w:vAlign w:val="center"/>
          </w:tcPr>
          <w:p w14:paraId="30B4A610"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1D537B39"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2039.42 </w:t>
            </w:r>
          </w:p>
        </w:tc>
        <w:tc>
          <w:tcPr>
            <w:tcW w:w="1509" w:type="pct"/>
            <w:shd w:val="clear" w:color="auto" w:fill="auto"/>
            <w:vAlign w:val="center"/>
          </w:tcPr>
          <w:p w14:paraId="26AAF12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北京中</w:t>
            </w:r>
            <w:proofErr w:type="gramStart"/>
            <w:r w:rsidRPr="0093704B">
              <w:rPr>
                <w:rFonts w:hint="eastAsia"/>
                <w:sz w:val="20"/>
                <w:szCs w:val="20"/>
              </w:rPr>
              <w:t>地泓科环境</w:t>
            </w:r>
            <w:proofErr w:type="gramEnd"/>
            <w:r w:rsidRPr="0093704B">
              <w:rPr>
                <w:rFonts w:hint="eastAsia"/>
                <w:sz w:val="20"/>
                <w:szCs w:val="20"/>
              </w:rPr>
              <w:t>科技有限公司</w:t>
            </w:r>
          </w:p>
        </w:tc>
      </w:tr>
      <w:tr w:rsidR="00637225" w:rsidRPr="0093704B" w14:paraId="6FA37C23" w14:textId="77777777">
        <w:trPr>
          <w:trHeight w:val="397"/>
        </w:trPr>
        <w:tc>
          <w:tcPr>
            <w:tcW w:w="323" w:type="pct"/>
            <w:shd w:val="clear" w:color="auto" w:fill="auto"/>
            <w:vAlign w:val="center"/>
          </w:tcPr>
          <w:p w14:paraId="18C965FC"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7</w:t>
            </w:r>
          </w:p>
        </w:tc>
        <w:tc>
          <w:tcPr>
            <w:tcW w:w="1806" w:type="pct"/>
            <w:shd w:val="clear" w:color="auto" w:fill="auto"/>
            <w:vAlign w:val="center"/>
          </w:tcPr>
          <w:p w14:paraId="015A3045"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proofErr w:type="gramStart"/>
            <w:r w:rsidRPr="0093704B">
              <w:rPr>
                <w:rFonts w:hint="eastAsia"/>
                <w:sz w:val="20"/>
                <w:szCs w:val="20"/>
              </w:rPr>
              <w:t>河钢唐</w:t>
            </w:r>
            <w:proofErr w:type="gramEnd"/>
            <w:r w:rsidRPr="0093704B">
              <w:rPr>
                <w:rFonts w:hint="eastAsia"/>
                <w:sz w:val="20"/>
                <w:szCs w:val="20"/>
              </w:rPr>
              <w:t>钢老工业区搬迁（开平区）项目土地污染治理项目环境调查评估</w:t>
            </w:r>
          </w:p>
        </w:tc>
        <w:tc>
          <w:tcPr>
            <w:tcW w:w="676" w:type="pct"/>
            <w:shd w:val="clear" w:color="auto" w:fill="auto"/>
            <w:vAlign w:val="center"/>
          </w:tcPr>
          <w:p w14:paraId="7BFA719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51E5E78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1912.66 </w:t>
            </w:r>
          </w:p>
        </w:tc>
        <w:tc>
          <w:tcPr>
            <w:tcW w:w="1509" w:type="pct"/>
            <w:shd w:val="clear" w:color="auto" w:fill="auto"/>
            <w:vAlign w:val="center"/>
          </w:tcPr>
          <w:p w14:paraId="7BF135A2"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proofErr w:type="gramStart"/>
            <w:r w:rsidRPr="0093704B">
              <w:rPr>
                <w:rFonts w:hint="eastAsia"/>
                <w:sz w:val="20"/>
                <w:szCs w:val="20"/>
              </w:rPr>
              <w:t>河钢工业</w:t>
            </w:r>
            <w:proofErr w:type="gramEnd"/>
            <w:r w:rsidRPr="0093704B">
              <w:rPr>
                <w:rFonts w:hint="eastAsia"/>
                <w:sz w:val="20"/>
                <w:szCs w:val="20"/>
              </w:rPr>
              <w:t>技术服务有限公司</w:t>
            </w:r>
            <w:r w:rsidRPr="0093704B">
              <w:rPr>
                <w:rFonts w:hint="eastAsia"/>
                <w:sz w:val="20"/>
                <w:szCs w:val="20"/>
              </w:rPr>
              <w:t>&amp;</w:t>
            </w:r>
            <w:r w:rsidRPr="0093704B">
              <w:rPr>
                <w:rFonts w:hint="eastAsia"/>
                <w:sz w:val="20"/>
                <w:szCs w:val="20"/>
              </w:rPr>
              <w:t>河北省众联能源环保科技有限公司联合体</w:t>
            </w:r>
          </w:p>
        </w:tc>
      </w:tr>
      <w:tr w:rsidR="00637225" w:rsidRPr="0093704B" w14:paraId="60A680A0" w14:textId="77777777">
        <w:trPr>
          <w:trHeight w:val="397"/>
        </w:trPr>
        <w:tc>
          <w:tcPr>
            <w:tcW w:w="323" w:type="pct"/>
            <w:shd w:val="clear" w:color="auto" w:fill="auto"/>
            <w:vAlign w:val="center"/>
          </w:tcPr>
          <w:p w14:paraId="6DDE4751"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8</w:t>
            </w:r>
          </w:p>
        </w:tc>
        <w:tc>
          <w:tcPr>
            <w:tcW w:w="1806" w:type="pct"/>
            <w:shd w:val="clear" w:color="auto" w:fill="auto"/>
            <w:vAlign w:val="center"/>
          </w:tcPr>
          <w:p w14:paraId="0362F154"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bookmarkStart w:id="9" w:name="_Hlk92722616"/>
            <w:r w:rsidRPr="0093704B">
              <w:rPr>
                <w:rFonts w:hint="eastAsia"/>
                <w:sz w:val="20"/>
                <w:szCs w:val="20"/>
              </w:rPr>
              <w:t>济源示范区地下水源地补给径流区地下水环境状况调查评估项目（一期）</w:t>
            </w:r>
            <w:bookmarkEnd w:id="9"/>
          </w:p>
        </w:tc>
        <w:tc>
          <w:tcPr>
            <w:tcW w:w="676" w:type="pct"/>
            <w:shd w:val="clear" w:color="auto" w:fill="auto"/>
            <w:vAlign w:val="center"/>
          </w:tcPr>
          <w:p w14:paraId="05D0E395"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39B78A3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1699.00 </w:t>
            </w:r>
          </w:p>
        </w:tc>
        <w:tc>
          <w:tcPr>
            <w:tcW w:w="1509" w:type="pct"/>
            <w:shd w:val="clear" w:color="auto" w:fill="auto"/>
            <w:vAlign w:val="center"/>
          </w:tcPr>
          <w:p w14:paraId="513E5DE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中国环境科学研究院</w:t>
            </w:r>
          </w:p>
        </w:tc>
      </w:tr>
      <w:tr w:rsidR="00637225" w:rsidRPr="0093704B" w14:paraId="1CFEEEFA" w14:textId="77777777">
        <w:trPr>
          <w:trHeight w:val="397"/>
        </w:trPr>
        <w:tc>
          <w:tcPr>
            <w:tcW w:w="323" w:type="pct"/>
            <w:shd w:val="clear" w:color="auto" w:fill="auto"/>
            <w:vAlign w:val="center"/>
          </w:tcPr>
          <w:p w14:paraId="6EA15C0E"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9</w:t>
            </w:r>
          </w:p>
        </w:tc>
        <w:tc>
          <w:tcPr>
            <w:tcW w:w="1806" w:type="pct"/>
            <w:shd w:val="clear" w:color="auto" w:fill="auto"/>
            <w:vAlign w:val="center"/>
          </w:tcPr>
          <w:p w14:paraId="3F556E6F"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柳州化学工业集团有限公司地块土壤及地下水污染状况详细调查、风险评估及编制修复方案</w:t>
            </w:r>
          </w:p>
        </w:tc>
        <w:tc>
          <w:tcPr>
            <w:tcW w:w="676" w:type="pct"/>
            <w:shd w:val="clear" w:color="auto" w:fill="auto"/>
            <w:vAlign w:val="center"/>
          </w:tcPr>
          <w:p w14:paraId="4B7A8126"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调查评估</w:t>
            </w:r>
          </w:p>
        </w:tc>
        <w:tc>
          <w:tcPr>
            <w:tcW w:w="686" w:type="pct"/>
            <w:shd w:val="clear" w:color="auto" w:fill="auto"/>
            <w:vAlign w:val="center"/>
          </w:tcPr>
          <w:p w14:paraId="35B96D11"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 xml:space="preserve">1598.84 </w:t>
            </w:r>
          </w:p>
        </w:tc>
        <w:tc>
          <w:tcPr>
            <w:tcW w:w="1509" w:type="pct"/>
            <w:shd w:val="clear" w:color="auto" w:fill="auto"/>
            <w:vAlign w:val="center"/>
          </w:tcPr>
          <w:p w14:paraId="2599EBFC"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hint="eastAsia"/>
                <w:sz w:val="20"/>
                <w:szCs w:val="20"/>
              </w:rPr>
              <w:t>北京伦至环境科技有限公司</w:t>
            </w:r>
          </w:p>
        </w:tc>
      </w:tr>
      <w:tr w:rsidR="00637225" w:rsidRPr="0093704B" w14:paraId="1698AC6F" w14:textId="77777777">
        <w:trPr>
          <w:trHeight w:val="397"/>
        </w:trPr>
        <w:tc>
          <w:tcPr>
            <w:tcW w:w="323" w:type="pct"/>
            <w:shd w:val="clear" w:color="auto" w:fill="auto"/>
            <w:vAlign w:val="center"/>
          </w:tcPr>
          <w:p w14:paraId="7B22AAC8"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10</w:t>
            </w:r>
          </w:p>
        </w:tc>
        <w:tc>
          <w:tcPr>
            <w:tcW w:w="1806" w:type="pct"/>
            <w:shd w:val="clear" w:color="auto" w:fill="auto"/>
            <w:vAlign w:val="center"/>
          </w:tcPr>
          <w:p w14:paraId="7BFEC32C"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广州市番禺印染总厂地块土壤污染状况初步调查、详细调查及风险评估服务项目</w:t>
            </w:r>
          </w:p>
        </w:tc>
        <w:tc>
          <w:tcPr>
            <w:tcW w:w="676" w:type="pct"/>
            <w:shd w:val="clear" w:color="auto" w:fill="auto"/>
            <w:vAlign w:val="center"/>
          </w:tcPr>
          <w:p w14:paraId="77926D63"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调查评估</w:t>
            </w:r>
          </w:p>
        </w:tc>
        <w:tc>
          <w:tcPr>
            <w:tcW w:w="686" w:type="pct"/>
            <w:shd w:val="clear" w:color="auto" w:fill="auto"/>
            <w:vAlign w:val="center"/>
          </w:tcPr>
          <w:p w14:paraId="477B594A"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sz w:val="20"/>
                <w:szCs w:val="20"/>
              </w:rPr>
              <w:t>1598.59</w:t>
            </w:r>
          </w:p>
        </w:tc>
        <w:tc>
          <w:tcPr>
            <w:tcW w:w="1509" w:type="pct"/>
            <w:shd w:val="clear" w:color="auto" w:fill="auto"/>
            <w:vAlign w:val="center"/>
          </w:tcPr>
          <w:p w14:paraId="621D3C21" w14:textId="77777777" w:rsidR="00637225" w:rsidRPr="0093704B" w:rsidRDefault="00286D31" w:rsidP="006013E0">
            <w:pPr>
              <w:widowControl/>
              <w:snapToGrid w:val="0"/>
              <w:spacing w:line="360" w:lineRule="auto"/>
              <w:jc w:val="center"/>
              <w:rPr>
                <w:rFonts w:asciiTheme="minorEastAsia" w:eastAsiaTheme="minorEastAsia" w:hAnsiTheme="minorEastAsia"/>
                <w:sz w:val="20"/>
                <w:szCs w:val="20"/>
              </w:rPr>
            </w:pPr>
            <w:r w:rsidRPr="0093704B">
              <w:rPr>
                <w:rFonts w:asciiTheme="minorEastAsia" w:eastAsiaTheme="minorEastAsia" w:hAnsiTheme="minorEastAsia" w:hint="eastAsia"/>
                <w:sz w:val="20"/>
                <w:szCs w:val="20"/>
              </w:rPr>
              <w:t>广东天海检测技术有限公司,广州检验检测认证集团有限公司</w:t>
            </w:r>
          </w:p>
        </w:tc>
      </w:tr>
    </w:tbl>
    <w:p w14:paraId="7A1BEE1F"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（1）长治市重点地区地下水污染状况调查评估项目：项目于2</w:t>
      </w:r>
      <w:r>
        <w:rPr>
          <w:rFonts w:asciiTheme="minorEastAsia" w:eastAsiaTheme="minorEastAsia" w:hAnsiTheme="minorEastAsia"/>
          <w:sz w:val="24"/>
        </w:rPr>
        <w:t>021</w:t>
      </w:r>
      <w:r>
        <w:rPr>
          <w:rFonts w:asciiTheme="minorEastAsia" w:eastAsiaTheme="minorEastAsia" w:hAnsiTheme="minorEastAsia" w:hint="eastAsia"/>
          <w:sz w:val="24"/>
        </w:rPr>
        <w:t>年1</w:t>
      </w:r>
      <w:r>
        <w:rPr>
          <w:rFonts w:asciiTheme="minorEastAsia" w:eastAsiaTheme="minorEastAsia" w:hAnsiTheme="minorEastAsia"/>
          <w:sz w:val="24"/>
        </w:rPr>
        <w:t>1</w:t>
      </w:r>
      <w:r>
        <w:rPr>
          <w:rFonts w:asciiTheme="minorEastAsia" w:eastAsiaTheme="minorEastAsia" w:hAnsiTheme="minorEastAsia" w:hint="eastAsia"/>
          <w:sz w:val="24"/>
        </w:rPr>
        <w:t>月启动。主要以长治市重点区域地下水调查为基础，以长治市地下水饮用水源地及重点污染源地下水基础环境状况调查为主要任务，以掌握长治市重点区域地下水整体环境状况、科学评估地下水水质、精准指导地下水污染防治工作为目标，为长治市地下水污染防治管理提供科学的基础数据。</w:t>
      </w:r>
    </w:p>
    <w:p w14:paraId="1C8B0643"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（2）大同市重点地区地下水污染状况调查评估项目：项目于2</w:t>
      </w:r>
      <w:r>
        <w:rPr>
          <w:rFonts w:asciiTheme="minorEastAsia" w:eastAsiaTheme="minorEastAsia" w:hAnsiTheme="minorEastAsia"/>
          <w:sz w:val="24"/>
        </w:rPr>
        <w:t>021</w:t>
      </w:r>
      <w:r>
        <w:rPr>
          <w:rFonts w:asciiTheme="minorEastAsia" w:eastAsiaTheme="minorEastAsia" w:hAnsiTheme="minorEastAsia" w:hint="eastAsia"/>
          <w:sz w:val="24"/>
        </w:rPr>
        <w:t>年1</w:t>
      </w:r>
      <w:r>
        <w:rPr>
          <w:rFonts w:asciiTheme="minorEastAsia" w:eastAsiaTheme="minorEastAsia" w:hAnsiTheme="minorEastAsia"/>
          <w:sz w:val="24"/>
        </w:rPr>
        <w:t>1</w:t>
      </w:r>
      <w:r>
        <w:rPr>
          <w:rFonts w:asciiTheme="minorEastAsia" w:eastAsiaTheme="minorEastAsia" w:hAnsiTheme="minorEastAsia" w:hint="eastAsia"/>
          <w:sz w:val="24"/>
        </w:rPr>
        <w:t>月启动。主要内容包括划定“千吨万人”以上集中式地下水型饮用水源地补给区；开展地下水污染详细调查评估；开展阳高县龙泉工业园区地下水环境状况调查评估；开展地下水污染健康风险评估工作；开展地下水污染重点防治区划分工作；制定</w:t>
      </w:r>
      <w:r>
        <w:rPr>
          <w:rFonts w:asciiTheme="minorEastAsia" w:eastAsiaTheme="minorEastAsia" w:hAnsiTheme="minorEastAsia" w:hint="eastAsia"/>
          <w:sz w:val="24"/>
        </w:rPr>
        <w:lastRenderedPageBreak/>
        <w:t>地下水污染修复治理、风险防控和防渗改造的项目建议清单及方案；完善地下水环境质量监测体系，出具相应的调查报告及配套图件表格等。</w:t>
      </w:r>
    </w:p>
    <w:p w14:paraId="1C7BFA81"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（3）黄河流域洛河支流</w:t>
      </w:r>
      <w:bookmarkStart w:id="10" w:name="_Hlk92721810"/>
      <w:r>
        <w:rPr>
          <w:rFonts w:asciiTheme="minorEastAsia" w:eastAsiaTheme="minorEastAsia" w:hAnsiTheme="minorEastAsia" w:hint="eastAsia"/>
          <w:sz w:val="24"/>
        </w:rPr>
        <w:t>洛宁段矿山开采及工业集聚区</w:t>
      </w:r>
      <w:bookmarkEnd w:id="10"/>
      <w:r>
        <w:rPr>
          <w:rFonts w:asciiTheme="minorEastAsia" w:eastAsiaTheme="minorEastAsia" w:hAnsiTheme="minorEastAsia" w:hint="eastAsia"/>
          <w:sz w:val="24"/>
        </w:rPr>
        <w:t>地下水环境状况调查项目：项目主要内容包括洛宁段矿山开采及工业集聚</w:t>
      </w:r>
      <w:proofErr w:type="gramStart"/>
      <w:r>
        <w:rPr>
          <w:rFonts w:asciiTheme="minorEastAsia" w:eastAsiaTheme="minorEastAsia" w:hAnsiTheme="minorEastAsia" w:hint="eastAsia"/>
          <w:sz w:val="24"/>
        </w:rPr>
        <w:t>区资料</w:t>
      </w:r>
      <w:proofErr w:type="gramEnd"/>
      <w:r>
        <w:rPr>
          <w:rFonts w:asciiTheme="minorEastAsia" w:eastAsiaTheme="minorEastAsia" w:hAnsiTheme="minorEastAsia" w:hint="eastAsia"/>
          <w:sz w:val="24"/>
        </w:rPr>
        <w:t>收集及综合整理、地面基础调查，污染监测样点布设及采集、物探测井、地下水监测井建设、样品分析测试、其他地质工作、工地建筑等。</w:t>
      </w:r>
    </w:p>
    <w:p w14:paraId="5B45E940"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（4）鹤壁市鹤山区地下水污染调查项目：项目主要内容包括核查鹤山区地下水</w:t>
      </w:r>
      <w:proofErr w:type="gramStart"/>
      <w:r>
        <w:rPr>
          <w:rFonts w:asciiTheme="minorEastAsia" w:eastAsiaTheme="minorEastAsia" w:hAnsiTheme="minorEastAsia" w:hint="eastAsia"/>
          <w:sz w:val="24"/>
        </w:rPr>
        <w:t>双源基本</w:t>
      </w:r>
      <w:proofErr w:type="gramEnd"/>
      <w:r>
        <w:rPr>
          <w:rFonts w:asciiTheme="minorEastAsia" w:eastAsiaTheme="minorEastAsia" w:hAnsiTheme="minorEastAsia" w:hint="eastAsia"/>
          <w:sz w:val="24"/>
        </w:rPr>
        <w:t>情况调查，开展不少于39个重点污染源的采样调查，对鹤山区地下水环境状况进行综合分析评价，进行鹤山区地下水污染防治区划，建立鹤山区地下水污染数据库。</w:t>
      </w:r>
    </w:p>
    <w:p w14:paraId="2412138B"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济源示范区地下水源地补给径流区地下水环境状况调查评估项目（一期）：项目主要内容包括对济源示范区地下水源地补给径流区地下水环境状况开展初步调查，为下一步地下水环境状况详细调查提供科学依据。在“双源”（集中式地下水型饮用水源和地下水污染源）集中区及周边可能影响地下水环境状况的区域开展地下水基础环境状况调查评价，通过资料收集、人员访谈、现场踏勘、水文地质、环境地质调查、污染调查、监测井施工、抽水实验、水土样品采样测试分析、地下水专题研究等手段，基本摸清区域内地下水环境质量状况，分析污染范围及污染程度，进行污染源识别、污染途径分析，编制济源示范区地下水源地补给径流区集中式饮用水水源和污染源周边地下水环境状况初步调查报告。</w:t>
      </w:r>
    </w:p>
    <w:bookmarkEnd w:id="6"/>
    <w:p w14:paraId="6484866C" w14:textId="77777777" w:rsidR="00637225" w:rsidRDefault="00286D31" w:rsidP="006013E0">
      <w:pPr>
        <w:pStyle w:val="1"/>
        <w:pageBreakBefore w:val="0"/>
        <w:widowControl w:val="0"/>
        <w:adjustRightInd/>
        <w:spacing w:beforeLines="0" w:line="360" w:lineRule="auto"/>
        <w:rPr>
          <w:rFonts w:cstheme="minorBidi"/>
          <w:bCs/>
          <w:caps w:val="0"/>
          <w:snapToGrid/>
          <w:kern w:val="44"/>
          <w:szCs w:val="44"/>
        </w:rPr>
      </w:pPr>
      <w:r>
        <w:rPr>
          <w:rFonts w:cstheme="minorBidi" w:hint="eastAsia"/>
          <w:bCs/>
          <w:caps w:val="0"/>
          <w:snapToGrid/>
          <w:kern w:val="44"/>
          <w:szCs w:val="44"/>
        </w:rPr>
        <w:t>3</w:t>
      </w:r>
      <w:r>
        <w:rPr>
          <w:rFonts w:cstheme="minorBidi" w:hint="eastAsia"/>
          <w:bCs/>
          <w:caps w:val="0"/>
          <w:snapToGrid/>
          <w:kern w:val="44"/>
          <w:szCs w:val="44"/>
        </w:rPr>
        <w:t>修复工程：</w:t>
      </w:r>
      <w:r>
        <w:rPr>
          <w:rFonts w:cstheme="minorBidi" w:hint="eastAsia"/>
          <w:bCs/>
          <w:caps w:val="0"/>
          <w:snapToGrid/>
          <w:kern w:val="44"/>
          <w:szCs w:val="44"/>
        </w:rPr>
        <w:t>2021</w:t>
      </w:r>
      <w:r>
        <w:rPr>
          <w:rFonts w:cstheme="minorBidi" w:hint="eastAsia"/>
          <w:bCs/>
          <w:caps w:val="0"/>
          <w:snapToGrid/>
          <w:kern w:val="44"/>
          <w:szCs w:val="44"/>
        </w:rPr>
        <w:t>年修复工程市场分析</w:t>
      </w:r>
    </w:p>
    <w:p w14:paraId="4B25CFA6"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11" w:name="_Toc82614263"/>
      <w:bookmarkStart w:id="12" w:name="_Toc84571969"/>
      <w:r w:rsidRPr="002249DB">
        <w:rPr>
          <w:rFonts w:eastAsia="黑体" w:hint="eastAsia"/>
          <w:color w:val="000000" w:themeColor="text1"/>
        </w:rPr>
        <w:t>3.1</w:t>
      </w:r>
      <w:r w:rsidRPr="002249DB">
        <w:rPr>
          <w:rFonts w:eastAsia="黑体" w:hint="eastAsia"/>
          <w:color w:val="000000" w:themeColor="text1"/>
        </w:rPr>
        <w:t>市场规模分析</w:t>
      </w:r>
      <w:bookmarkEnd w:id="11"/>
      <w:bookmarkEnd w:id="12"/>
    </w:p>
    <w:p w14:paraId="049BFB29"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3.1.1</w:t>
      </w:r>
      <w:r w:rsidRPr="002249DB">
        <w:rPr>
          <w:rFonts w:eastAsia="黑体" w:cs="Times New Roman" w:hint="eastAsia"/>
          <w:color w:val="000000" w:themeColor="text1"/>
          <w:sz w:val="28"/>
          <w:szCs w:val="28"/>
        </w:rPr>
        <w:t>总体市场规模</w:t>
      </w:r>
    </w:p>
    <w:p w14:paraId="6EFEFDED" w14:textId="77777777" w:rsidR="00637225" w:rsidRDefault="00286D31" w:rsidP="006013E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w:t>
      </w:r>
      <w:r>
        <w:rPr>
          <w:rFonts w:asciiTheme="minorEastAsia" w:eastAsiaTheme="minorEastAsia" w:hAnsiTheme="minorEastAsia" w:hint="eastAsia"/>
          <w:sz w:val="24"/>
        </w:rPr>
        <w:t>1年全国正式启动（含已招标项目，不含未招标、流标项目）的修复工程项目503个</w:t>
      </w:r>
      <w:r>
        <w:rPr>
          <w:rFonts w:asciiTheme="minorEastAsia" w:eastAsiaTheme="minorEastAsia" w:hAnsiTheme="minorEastAsia"/>
          <w:sz w:val="24"/>
        </w:rPr>
        <w:t>，合同</w:t>
      </w:r>
      <w:r>
        <w:rPr>
          <w:rFonts w:asciiTheme="minorEastAsia" w:eastAsiaTheme="minorEastAsia" w:hAnsiTheme="minorEastAsia" w:hint="eastAsia"/>
          <w:sz w:val="24"/>
        </w:rPr>
        <w:t>总金额为121.56亿元，</w:t>
      </w:r>
      <w:r>
        <w:rPr>
          <w:rFonts w:asciiTheme="minorEastAsia" w:eastAsiaTheme="minorEastAsia" w:hAnsiTheme="minorEastAsia"/>
          <w:sz w:val="24"/>
        </w:rPr>
        <w:t>覆盖</w:t>
      </w:r>
      <w:r>
        <w:rPr>
          <w:rFonts w:asciiTheme="minorEastAsia" w:eastAsiaTheme="minorEastAsia" w:hAnsiTheme="minorEastAsia" w:hint="eastAsia"/>
          <w:sz w:val="24"/>
        </w:rPr>
        <w:t>全国除西藏、港澳台</w:t>
      </w:r>
      <w:r>
        <w:rPr>
          <w:rFonts w:asciiTheme="minorEastAsia" w:eastAsiaTheme="minorEastAsia" w:hAnsiTheme="minorEastAsia"/>
          <w:sz w:val="24"/>
        </w:rPr>
        <w:t>3</w:t>
      </w:r>
      <w:r>
        <w:rPr>
          <w:rFonts w:asciiTheme="minorEastAsia" w:eastAsiaTheme="minorEastAsia" w:hAnsiTheme="minorEastAsia" w:hint="eastAsia"/>
          <w:sz w:val="24"/>
        </w:rPr>
        <w:t>0</w:t>
      </w:r>
      <w:r>
        <w:rPr>
          <w:rFonts w:asciiTheme="minorEastAsia" w:eastAsiaTheme="minorEastAsia" w:hAnsiTheme="minorEastAsia"/>
          <w:sz w:val="24"/>
        </w:rPr>
        <w:t>个省</w:t>
      </w:r>
      <w:r>
        <w:rPr>
          <w:rFonts w:asciiTheme="minorEastAsia" w:eastAsiaTheme="minorEastAsia" w:hAnsiTheme="minorEastAsia" w:hint="eastAsia"/>
          <w:sz w:val="24"/>
        </w:rPr>
        <w:t>（</w:t>
      </w:r>
      <w:r>
        <w:rPr>
          <w:rFonts w:asciiTheme="minorEastAsia" w:eastAsiaTheme="minorEastAsia" w:hAnsiTheme="minorEastAsia"/>
          <w:sz w:val="24"/>
        </w:rPr>
        <w:t>区</w:t>
      </w:r>
      <w:r>
        <w:rPr>
          <w:rFonts w:asciiTheme="minorEastAsia" w:eastAsiaTheme="minorEastAsia" w:hAnsiTheme="minorEastAsia" w:hint="eastAsia"/>
          <w:sz w:val="24"/>
        </w:rPr>
        <w:t>、</w:t>
      </w:r>
      <w:r>
        <w:rPr>
          <w:rFonts w:asciiTheme="minorEastAsia" w:eastAsiaTheme="minorEastAsia" w:hAnsiTheme="minorEastAsia"/>
          <w:sz w:val="24"/>
        </w:rPr>
        <w:t>市</w:t>
      </w:r>
      <w:r>
        <w:rPr>
          <w:rFonts w:asciiTheme="minorEastAsia" w:eastAsiaTheme="minorEastAsia" w:hAnsiTheme="minorEastAsia" w:hint="eastAsia"/>
          <w:sz w:val="24"/>
        </w:rPr>
        <w:t>）。</w:t>
      </w:r>
    </w:p>
    <w:p w14:paraId="4760697A"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从项目数量来看，在政策导向、场地再开发利用需求和环保意识增强影响下，土壤修复工程行业受到持续关注，全国修复工程项目数量总体平稳，呈小范围波动，2</w:t>
      </w:r>
      <w:r>
        <w:rPr>
          <w:rFonts w:asciiTheme="minorEastAsia" w:eastAsiaTheme="minorEastAsia" w:hAnsiTheme="minorEastAsia"/>
          <w:sz w:val="24"/>
        </w:rPr>
        <w:t>02</w:t>
      </w:r>
      <w:r>
        <w:rPr>
          <w:rFonts w:asciiTheme="minorEastAsia" w:eastAsiaTheme="minorEastAsia" w:hAnsiTheme="minorEastAsia" w:hint="eastAsia"/>
          <w:sz w:val="24"/>
        </w:rPr>
        <w:t>1年度全国启动的污染修复工程项目数量较2020年同比降低24.7%。</w:t>
      </w:r>
    </w:p>
    <w:p w14:paraId="58BB5B3D"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从投资金额来看，近四年全国修复工程市场总投资规模逐渐稳定在100亿元</w:t>
      </w:r>
      <w:r>
        <w:rPr>
          <w:rFonts w:asciiTheme="minorEastAsia" w:eastAsiaTheme="minorEastAsia" w:hAnsiTheme="minorEastAsia" w:hint="eastAsia"/>
          <w:sz w:val="24"/>
        </w:rPr>
        <w:lastRenderedPageBreak/>
        <w:t>上下。2</w:t>
      </w:r>
      <w:r>
        <w:rPr>
          <w:rFonts w:asciiTheme="minorEastAsia" w:eastAsiaTheme="minorEastAsia" w:hAnsiTheme="minorEastAsia"/>
          <w:sz w:val="24"/>
        </w:rPr>
        <w:t>02</w:t>
      </w:r>
      <w:r>
        <w:rPr>
          <w:rFonts w:asciiTheme="minorEastAsia" w:eastAsiaTheme="minorEastAsia" w:hAnsiTheme="minorEastAsia" w:hint="eastAsia"/>
          <w:sz w:val="24"/>
        </w:rPr>
        <w:t>1年度启动的修复工程总投资金额较2020年同比增长18%，2021年全国钢铁行业遗留场地修复工程项目</w:t>
      </w:r>
      <w:proofErr w:type="gramStart"/>
      <w:r>
        <w:rPr>
          <w:rFonts w:asciiTheme="minorEastAsia" w:eastAsiaTheme="minorEastAsia" w:hAnsiTheme="minorEastAsia" w:hint="eastAsia"/>
          <w:sz w:val="24"/>
        </w:rPr>
        <w:t>共启动</w:t>
      </w:r>
      <w:proofErr w:type="gramEnd"/>
      <w:r>
        <w:rPr>
          <w:rFonts w:asciiTheme="minorEastAsia" w:eastAsiaTheme="minorEastAsia" w:hAnsiTheme="minorEastAsia" w:hint="eastAsia"/>
          <w:sz w:val="24"/>
        </w:rPr>
        <w:t>15个，主要在重庆、杭州、安徽等地，项目合同额总计达30亿，占全国修复工程金额的25%。其中围绕着重钢、杭钢和合肥马钢等三个大型污染地块共计产生了25.2亿元的修复工程，占全国总修复工程市场的五分之一。包括重钢焦化厂原址场地污染土壤治理修复项目EPC项目（项目金额为8.38亿元）、重钢渔</w:t>
      </w:r>
      <w:proofErr w:type="gramStart"/>
      <w:r>
        <w:rPr>
          <w:rFonts w:asciiTheme="minorEastAsia" w:eastAsiaTheme="minorEastAsia" w:hAnsiTheme="minorEastAsia" w:hint="eastAsia"/>
          <w:sz w:val="24"/>
        </w:rPr>
        <w:t>鳅浩</w:t>
      </w:r>
      <w:proofErr w:type="gramEnd"/>
      <w:r>
        <w:rPr>
          <w:rFonts w:asciiTheme="minorEastAsia" w:eastAsiaTheme="minorEastAsia" w:hAnsiTheme="minorEastAsia" w:hint="eastAsia"/>
          <w:sz w:val="24"/>
        </w:rPr>
        <w:t>原址场地污染土壤治理修复项目（项目金额3.34亿元）、杭钢单元相关修复项目（4.91亿元）、原马钢(合肥)地块（2.25亿元），以及重钢炼铁厂修复项目（2.18亿元）、重钢烧结厂（4.1亿元）。</w:t>
      </w:r>
    </w:p>
    <w:p w14:paraId="26A81EE9"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018</w:t>
      </w:r>
      <w:r>
        <w:rPr>
          <w:rFonts w:asciiTheme="minorEastAsia" w:eastAsiaTheme="minorEastAsia" w:hAnsiTheme="minorEastAsia" w:hint="eastAsia"/>
          <w:sz w:val="24"/>
        </w:rPr>
        <w:t>年、2</w:t>
      </w:r>
      <w:r>
        <w:rPr>
          <w:rFonts w:asciiTheme="minorEastAsia" w:eastAsiaTheme="minorEastAsia" w:hAnsiTheme="minorEastAsia"/>
          <w:sz w:val="24"/>
        </w:rPr>
        <w:t>019</w:t>
      </w:r>
      <w:r>
        <w:rPr>
          <w:rFonts w:asciiTheme="minorEastAsia" w:eastAsiaTheme="minorEastAsia" w:hAnsiTheme="minorEastAsia" w:hint="eastAsia"/>
          <w:sz w:val="24"/>
        </w:rPr>
        <w:t>年土壤污染修复工程项目平均合同金额约为2</w:t>
      </w:r>
      <w:r>
        <w:rPr>
          <w:rFonts w:asciiTheme="minorEastAsia" w:eastAsiaTheme="minorEastAsia" w:hAnsiTheme="minorEastAsia"/>
          <w:sz w:val="24"/>
        </w:rPr>
        <w:t>700</w:t>
      </w:r>
      <w:r>
        <w:rPr>
          <w:rFonts w:asciiTheme="minorEastAsia" w:eastAsiaTheme="minorEastAsia" w:hAnsiTheme="minorEastAsia" w:hint="eastAsia"/>
          <w:sz w:val="24"/>
        </w:rPr>
        <w:t>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，2</w:t>
      </w:r>
      <w:r>
        <w:rPr>
          <w:rFonts w:asciiTheme="minorEastAsia" w:eastAsiaTheme="minorEastAsia" w:hAnsiTheme="minorEastAsia"/>
          <w:sz w:val="24"/>
        </w:rPr>
        <w:t>020</w:t>
      </w:r>
      <w:r>
        <w:rPr>
          <w:rFonts w:asciiTheme="minorEastAsia" w:eastAsiaTheme="minorEastAsia" w:hAnsiTheme="minorEastAsia" w:hint="eastAsia"/>
          <w:sz w:val="24"/>
        </w:rPr>
        <w:t>年平均每个项目合同金额下降很明显（1</w:t>
      </w:r>
      <w:r>
        <w:rPr>
          <w:rFonts w:asciiTheme="minorEastAsia" w:eastAsiaTheme="minorEastAsia" w:hAnsiTheme="minorEastAsia"/>
          <w:sz w:val="24"/>
        </w:rPr>
        <w:t>54</w:t>
      </w:r>
      <w:r>
        <w:rPr>
          <w:rFonts w:asciiTheme="minorEastAsia" w:eastAsiaTheme="minorEastAsia" w:hAnsiTheme="minorEastAsia" w:hint="eastAsia"/>
          <w:sz w:val="24"/>
        </w:rPr>
        <w:t>2万元/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），2021年平均合同金额提升到2417万元/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，这与当年出现了重钢、合钢、杭钢等几个大型钢铁遗留地块修复工程项目密切相关。若</w:t>
      </w:r>
      <w:r>
        <w:rPr>
          <w:rFonts w:asciiTheme="minorEastAsia" w:eastAsiaTheme="minorEastAsia" w:hAnsiTheme="minorEastAsia"/>
          <w:sz w:val="24"/>
        </w:rPr>
        <w:t>扣除大型污染地块修复工程项目的抬升影响</w:t>
      </w:r>
      <w:r>
        <w:rPr>
          <w:rFonts w:asciiTheme="minorEastAsia" w:eastAsiaTheme="minorEastAsia" w:hAnsiTheme="minorEastAsia" w:hint="eastAsia"/>
          <w:sz w:val="24"/>
        </w:rPr>
        <w:t>，</w:t>
      </w:r>
      <w:r>
        <w:rPr>
          <w:rFonts w:asciiTheme="minorEastAsia" w:eastAsiaTheme="minorEastAsia" w:hAnsiTheme="minorEastAsia"/>
          <w:sz w:val="24"/>
        </w:rPr>
        <w:t>总体平均每个修复工程项目单价</w:t>
      </w:r>
      <w:r>
        <w:rPr>
          <w:rFonts w:asciiTheme="minorEastAsia" w:eastAsiaTheme="minorEastAsia" w:hAnsiTheme="minorEastAsia" w:hint="eastAsia"/>
          <w:sz w:val="24"/>
        </w:rPr>
        <w:t>大体</w:t>
      </w:r>
      <w:r>
        <w:rPr>
          <w:rFonts w:asciiTheme="minorEastAsia" w:eastAsiaTheme="minorEastAsia" w:hAnsiTheme="minorEastAsia"/>
          <w:sz w:val="24"/>
        </w:rPr>
        <w:t>在</w:t>
      </w:r>
      <w:r>
        <w:rPr>
          <w:rFonts w:asciiTheme="minorEastAsia" w:eastAsiaTheme="minorEastAsia" w:hAnsiTheme="minorEastAsia" w:hint="eastAsia"/>
          <w:sz w:val="24"/>
        </w:rPr>
        <w:t>1600万元/</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左右。</w:t>
      </w:r>
    </w:p>
    <w:p w14:paraId="1AB68BC4" w14:textId="77777777" w:rsidR="00637225" w:rsidRDefault="000E3E89" w:rsidP="006013E0">
      <w:pPr>
        <w:snapToGrid w:val="0"/>
        <w:spacing w:line="360" w:lineRule="auto"/>
        <w:jc w:val="center"/>
      </w:pPr>
      <w:r>
        <w:rPr>
          <w:noProof/>
        </w:rPr>
        <w:drawing>
          <wp:inline distT="0" distB="0" distL="0" distR="0" wp14:anchorId="2F434CA1" wp14:editId="326D4500">
            <wp:extent cx="4842510" cy="25975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5355" cy="2599061"/>
                    </a:xfrm>
                    <a:prstGeom prst="rect">
                      <a:avLst/>
                    </a:prstGeom>
                  </pic:spPr>
                </pic:pic>
              </a:graphicData>
            </a:graphic>
          </wp:inline>
        </w:drawing>
      </w:r>
    </w:p>
    <w:p w14:paraId="681C9DBD"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图3-1  2018-2021年土壤修复工程项目数量和项目金额对比</w:t>
      </w:r>
    </w:p>
    <w:p w14:paraId="2CDC5D10"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3.1.2</w:t>
      </w:r>
      <w:r w:rsidRPr="002249DB">
        <w:rPr>
          <w:rFonts w:eastAsia="黑体" w:cs="Times New Roman" w:hint="eastAsia"/>
          <w:color w:val="000000" w:themeColor="text1"/>
          <w:sz w:val="28"/>
          <w:szCs w:val="28"/>
        </w:rPr>
        <w:t>不同类型项目分析</w:t>
      </w:r>
    </w:p>
    <w:p w14:paraId="1CEAFCE4"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bookmarkStart w:id="13" w:name="_Hlk83197321"/>
      <w:r>
        <w:rPr>
          <w:rFonts w:asciiTheme="minorEastAsia" w:eastAsiaTheme="minorEastAsia" w:hAnsiTheme="minorEastAsia" w:hint="eastAsia"/>
          <w:sz w:val="24"/>
        </w:rPr>
        <w:t>将土壤污染修复对象分为建设场地、矿山土壤/废渣场地（主要涉及矿山周边土壤或废渣的修复）、农用地、填埋场、地下水、水域用地（主要涉及河道周边土壤或底泥的修复）、其他等共计七种类型。</w:t>
      </w:r>
    </w:p>
    <w:p w14:paraId="7DF474A4"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根据表3-1，2021年启动的建设用地修复工程类项目的数量最多，占全年工程项目数量的50.7%，其次为农用地修复治理项目，占比为17.5%。从项目金额上来看，金额最高的为建设用地的风险管控与修复类项目，其合同金额占比为70.8%，</w:t>
      </w:r>
      <w:r>
        <w:rPr>
          <w:rFonts w:asciiTheme="minorEastAsia" w:eastAsiaTheme="minorEastAsia" w:hAnsiTheme="minorEastAsia" w:hint="eastAsia"/>
          <w:sz w:val="24"/>
        </w:rPr>
        <w:lastRenderedPageBreak/>
        <w:t>远超过其他类型的修复工程项目合同金额。农用地类型项目数量虽然排第二，但合同金额的占比仅占2.8%</w:t>
      </w:r>
      <w:bookmarkEnd w:id="13"/>
      <w:r>
        <w:rPr>
          <w:rFonts w:asciiTheme="minorEastAsia" w:eastAsiaTheme="minorEastAsia" w:hAnsiTheme="minorEastAsia" w:hint="eastAsia"/>
          <w:sz w:val="24"/>
        </w:rPr>
        <w:t>。填埋</w:t>
      </w:r>
      <w:proofErr w:type="gramStart"/>
      <w:r>
        <w:rPr>
          <w:rFonts w:asciiTheme="minorEastAsia" w:eastAsiaTheme="minorEastAsia" w:hAnsiTheme="minorEastAsia" w:hint="eastAsia"/>
          <w:sz w:val="24"/>
        </w:rPr>
        <w:t>场治理</w:t>
      </w:r>
      <w:proofErr w:type="gramEnd"/>
      <w:r>
        <w:rPr>
          <w:rFonts w:asciiTheme="minorEastAsia" w:eastAsiaTheme="minorEastAsia" w:hAnsiTheme="minorEastAsia" w:hint="eastAsia"/>
          <w:sz w:val="24"/>
        </w:rPr>
        <w:t>工程项目金额与矿山土壤/废渣场地金额占比均约为8%左右，但填埋</w:t>
      </w:r>
      <w:proofErr w:type="gramStart"/>
      <w:r>
        <w:rPr>
          <w:rFonts w:asciiTheme="minorEastAsia" w:eastAsiaTheme="minorEastAsia" w:hAnsiTheme="minorEastAsia" w:hint="eastAsia"/>
          <w:sz w:val="24"/>
        </w:rPr>
        <w:t>场治理</w:t>
      </w:r>
      <w:proofErr w:type="gramEnd"/>
      <w:r>
        <w:rPr>
          <w:rFonts w:asciiTheme="minorEastAsia" w:eastAsiaTheme="minorEastAsia" w:hAnsiTheme="minorEastAsia" w:hint="eastAsia"/>
          <w:sz w:val="24"/>
        </w:rPr>
        <w:t>工程项目数量较少，单个项目平均金额比矿山/废渣场地修复项目金额高。</w:t>
      </w:r>
    </w:p>
    <w:p w14:paraId="262BB22A"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表3-1  2021年不同修复对象的土壤污染修复工程项目数量和合同金额统计</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6"/>
        <w:gridCol w:w="1491"/>
        <w:gridCol w:w="2176"/>
        <w:gridCol w:w="1672"/>
      </w:tblGrid>
      <w:tr w:rsidR="00637225" w:rsidRPr="0093704B" w14:paraId="0CDD780D" w14:textId="77777777">
        <w:trPr>
          <w:trHeight w:val="290"/>
          <w:tblHeader/>
        </w:trPr>
        <w:tc>
          <w:tcPr>
            <w:tcW w:w="894" w:type="pct"/>
            <w:vMerge w:val="restart"/>
            <w:shd w:val="clear" w:color="auto" w:fill="auto"/>
            <w:vAlign w:val="center"/>
          </w:tcPr>
          <w:p w14:paraId="755EAF06" w14:textId="77777777" w:rsidR="00637225" w:rsidRPr="0093704B" w:rsidRDefault="00286D31" w:rsidP="006013E0">
            <w:pPr>
              <w:widowControl/>
              <w:snapToGrid w:val="0"/>
              <w:spacing w:line="360" w:lineRule="auto"/>
              <w:jc w:val="center"/>
              <w:rPr>
                <w:b/>
                <w:bCs/>
                <w:kern w:val="0"/>
                <w:szCs w:val="21"/>
              </w:rPr>
            </w:pPr>
            <w:r w:rsidRPr="0093704B">
              <w:rPr>
                <w:b/>
                <w:bCs/>
                <w:kern w:val="0"/>
                <w:szCs w:val="21"/>
              </w:rPr>
              <w:t>场地类别</w:t>
            </w:r>
          </w:p>
        </w:tc>
        <w:tc>
          <w:tcPr>
            <w:tcW w:w="1791" w:type="pct"/>
            <w:gridSpan w:val="2"/>
            <w:shd w:val="clear" w:color="auto" w:fill="auto"/>
            <w:vAlign w:val="center"/>
          </w:tcPr>
          <w:p w14:paraId="4C6D7B1B" w14:textId="77777777" w:rsidR="00637225" w:rsidRPr="0093704B" w:rsidRDefault="00286D31" w:rsidP="006013E0">
            <w:pPr>
              <w:widowControl/>
              <w:snapToGrid w:val="0"/>
              <w:spacing w:line="360" w:lineRule="auto"/>
              <w:jc w:val="center"/>
              <w:rPr>
                <w:b/>
                <w:bCs/>
                <w:kern w:val="0"/>
                <w:szCs w:val="21"/>
              </w:rPr>
            </w:pPr>
            <w:r w:rsidRPr="0093704B">
              <w:rPr>
                <w:b/>
                <w:bCs/>
                <w:kern w:val="0"/>
                <w:szCs w:val="21"/>
              </w:rPr>
              <w:t>项目数量</w:t>
            </w:r>
          </w:p>
        </w:tc>
        <w:tc>
          <w:tcPr>
            <w:tcW w:w="2315" w:type="pct"/>
            <w:gridSpan w:val="2"/>
            <w:shd w:val="clear" w:color="auto" w:fill="auto"/>
            <w:vAlign w:val="center"/>
          </w:tcPr>
          <w:p w14:paraId="1F189373" w14:textId="77777777" w:rsidR="00637225" w:rsidRPr="0093704B" w:rsidRDefault="00286D31" w:rsidP="006013E0">
            <w:pPr>
              <w:widowControl/>
              <w:snapToGrid w:val="0"/>
              <w:spacing w:line="360" w:lineRule="auto"/>
              <w:jc w:val="center"/>
              <w:rPr>
                <w:b/>
                <w:bCs/>
                <w:kern w:val="0"/>
                <w:szCs w:val="21"/>
              </w:rPr>
            </w:pPr>
            <w:r w:rsidRPr="0093704B">
              <w:rPr>
                <w:b/>
                <w:bCs/>
                <w:kern w:val="0"/>
                <w:szCs w:val="21"/>
              </w:rPr>
              <w:t>项目金额</w:t>
            </w:r>
          </w:p>
        </w:tc>
      </w:tr>
      <w:tr w:rsidR="00637225" w:rsidRPr="0093704B" w14:paraId="34DE89FF" w14:textId="77777777">
        <w:trPr>
          <w:trHeight w:val="530"/>
          <w:tblHeader/>
        </w:trPr>
        <w:tc>
          <w:tcPr>
            <w:tcW w:w="894" w:type="pct"/>
            <w:vMerge/>
            <w:vAlign w:val="center"/>
          </w:tcPr>
          <w:p w14:paraId="275332F6" w14:textId="77777777" w:rsidR="00637225" w:rsidRPr="0093704B" w:rsidRDefault="00637225" w:rsidP="006013E0">
            <w:pPr>
              <w:widowControl/>
              <w:snapToGrid w:val="0"/>
              <w:spacing w:line="360" w:lineRule="auto"/>
              <w:jc w:val="left"/>
              <w:rPr>
                <w:b/>
                <w:bCs/>
                <w:kern w:val="0"/>
                <w:szCs w:val="21"/>
              </w:rPr>
            </w:pPr>
          </w:p>
        </w:tc>
        <w:tc>
          <w:tcPr>
            <w:tcW w:w="894" w:type="pct"/>
            <w:shd w:val="clear" w:color="auto" w:fill="auto"/>
            <w:vAlign w:val="center"/>
          </w:tcPr>
          <w:p w14:paraId="3DD6CF99" w14:textId="77777777" w:rsidR="00637225" w:rsidRPr="0093704B" w:rsidRDefault="00286D31" w:rsidP="006013E0">
            <w:pPr>
              <w:widowControl/>
              <w:snapToGrid w:val="0"/>
              <w:spacing w:line="360" w:lineRule="auto"/>
              <w:jc w:val="center"/>
              <w:rPr>
                <w:b/>
                <w:kern w:val="0"/>
                <w:szCs w:val="21"/>
              </w:rPr>
            </w:pPr>
            <w:r w:rsidRPr="0093704B">
              <w:rPr>
                <w:b/>
                <w:kern w:val="0"/>
                <w:szCs w:val="21"/>
              </w:rPr>
              <w:t>数量</w:t>
            </w:r>
            <w:r w:rsidRPr="0093704B">
              <w:rPr>
                <w:b/>
                <w:kern w:val="0"/>
                <w:szCs w:val="21"/>
              </w:rPr>
              <w:t>/</w:t>
            </w:r>
            <w:proofErr w:type="gramStart"/>
            <w:r w:rsidRPr="0093704B">
              <w:rPr>
                <w:b/>
                <w:kern w:val="0"/>
                <w:szCs w:val="21"/>
              </w:rPr>
              <w:t>个</w:t>
            </w:r>
            <w:proofErr w:type="gramEnd"/>
          </w:p>
        </w:tc>
        <w:tc>
          <w:tcPr>
            <w:tcW w:w="897" w:type="pct"/>
            <w:shd w:val="clear" w:color="auto" w:fill="auto"/>
            <w:vAlign w:val="center"/>
          </w:tcPr>
          <w:p w14:paraId="74E6FE50" w14:textId="77777777" w:rsidR="00637225" w:rsidRPr="0093704B" w:rsidRDefault="00286D31" w:rsidP="006013E0">
            <w:pPr>
              <w:widowControl/>
              <w:snapToGrid w:val="0"/>
              <w:spacing w:line="360" w:lineRule="auto"/>
              <w:jc w:val="center"/>
              <w:rPr>
                <w:b/>
                <w:kern w:val="0"/>
                <w:szCs w:val="21"/>
              </w:rPr>
            </w:pPr>
            <w:r w:rsidRPr="0093704B">
              <w:rPr>
                <w:b/>
                <w:kern w:val="0"/>
                <w:szCs w:val="21"/>
              </w:rPr>
              <w:t>数量占比</w:t>
            </w:r>
            <w:r w:rsidRPr="0093704B">
              <w:rPr>
                <w:b/>
                <w:kern w:val="0"/>
                <w:szCs w:val="21"/>
              </w:rPr>
              <w:t>/</w:t>
            </w:r>
            <w:r w:rsidRPr="0093704B">
              <w:rPr>
                <w:kern w:val="0"/>
                <w:szCs w:val="21"/>
              </w:rPr>
              <w:t>%</w:t>
            </w:r>
          </w:p>
        </w:tc>
        <w:tc>
          <w:tcPr>
            <w:tcW w:w="1309" w:type="pct"/>
            <w:shd w:val="clear" w:color="auto" w:fill="auto"/>
            <w:vAlign w:val="center"/>
          </w:tcPr>
          <w:p w14:paraId="5CB74C2E" w14:textId="77777777" w:rsidR="00637225" w:rsidRPr="0093704B" w:rsidRDefault="00286D31" w:rsidP="006013E0">
            <w:pPr>
              <w:widowControl/>
              <w:snapToGrid w:val="0"/>
              <w:spacing w:line="360" w:lineRule="auto"/>
              <w:jc w:val="center"/>
              <w:rPr>
                <w:b/>
                <w:kern w:val="0"/>
                <w:szCs w:val="21"/>
              </w:rPr>
            </w:pPr>
            <w:r w:rsidRPr="0093704B">
              <w:rPr>
                <w:b/>
                <w:kern w:val="0"/>
                <w:szCs w:val="21"/>
              </w:rPr>
              <w:t>金额</w:t>
            </w:r>
            <w:r w:rsidRPr="0093704B">
              <w:rPr>
                <w:b/>
                <w:kern w:val="0"/>
                <w:szCs w:val="21"/>
              </w:rPr>
              <w:t>/</w:t>
            </w:r>
            <w:r w:rsidRPr="0093704B">
              <w:rPr>
                <w:b/>
                <w:kern w:val="0"/>
                <w:szCs w:val="21"/>
              </w:rPr>
              <w:t>亿元</w:t>
            </w:r>
          </w:p>
        </w:tc>
        <w:tc>
          <w:tcPr>
            <w:tcW w:w="1006" w:type="pct"/>
            <w:shd w:val="clear" w:color="auto" w:fill="auto"/>
            <w:vAlign w:val="center"/>
          </w:tcPr>
          <w:p w14:paraId="7EF26A22" w14:textId="77777777" w:rsidR="00637225" w:rsidRPr="0093704B" w:rsidRDefault="00286D31" w:rsidP="006013E0">
            <w:pPr>
              <w:widowControl/>
              <w:snapToGrid w:val="0"/>
              <w:spacing w:line="360" w:lineRule="auto"/>
              <w:jc w:val="center"/>
              <w:rPr>
                <w:b/>
                <w:kern w:val="0"/>
                <w:szCs w:val="21"/>
              </w:rPr>
            </w:pPr>
            <w:r w:rsidRPr="0093704B">
              <w:rPr>
                <w:b/>
                <w:kern w:val="0"/>
                <w:szCs w:val="21"/>
              </w:rPr>
              <w:t>金额占比</w:t>
            </w:r>
            <w:r w:rsidRPr="0093704B">
              <w:rPr>
                <w:b/>
                <w:kern w:val="0"/>
                <w:szCs w:val="21"/>
              </w:rPr>
              <w:t>/</w:t>
            </w:r>
            <w:r w:rsidRPr="0093704B">
              <w:rPr>
                <w:kern w:val="0"/>
                <w:szCs w:val="21"/>
              </w:rPr>
              <w:t>%</w:t>
            </w:r>
          </w:p>
        </w:tc>
      </w:tr>
      <w:tr w:rsidR="00637225" w:rsidRPr="0093704B" w14:paraId="76CC23CA" w14:textId="77777777">
        <w:trPr>
          <w:trHeight w:val="290"/>
        </w:trPr>
        <w:tc>
          <w:tcPr>
            <w:tcW w:w="894" w:type="pct"/>
            <w:shd w:val="clear" w:color="auto" w:fill="auto"/>
            <w:vAlign w:val="center"/>
          </w:tcPr>
          <w:p w14:paraId="5860C7FD" w14:textId="77777777" w:rsidR="00637225" w:rsidRPr="0093704B" w:rsidRDefault="00286D31" w:rsidP="006013E0">
            <w:pPr>
              <w:widowControl/>
              <w:snapToGrid w:val="0"/>
              <w:spacing w:line="360" w:lineRule="auto"/>
              <w:rPr>
                <w:kern w:val="0"/>
                <w:szCs w:val="21"/>
              </w:rPr>
            </w:pPr>
            <w:r w:rsidRPr="0093704B">
              <w:rPr>
                <w:kern w:val="0"/>
                <w:szCs w:val="21"/>
              </w:rPr>
              <w:t>1.</w:t>
            </w:r>
            <w:r w:rsidRPr="0093704B">
              <w:rPr>
                <w:kern w:val="0"/>
                <w:szCs w:val="21"/>
              </w:rPr>
              <w:t>建设用地</w:t>
            </w:r>
          </w:p>
        </w:tc>
        <w:tc>
          <w:tcPr>
            <w:tcW w:w="894" w:type="pct"/>
            <w:shd w:val="clear" w:color="auto" w:fill="auto"/>
            <w:vAlign w:val="center"/>
          </w:tcPr>
          <w:p w14:paraId="13E51246" w14:textId="77777777" w:rsidR="00637225" w:rsidRPr="0093704B" w:rsidRDefault="00286D31" w:rsidP="006013E0">
            <w:pPr>
              <w:widowControl/>
              <w:snapToGrid w:val="0"/>
              <w:spacing w:line="360" w:lineRule="auto"/>
              <w:jc w:val="center"/>
              <w:rPr>
                <w:kern w:val="0"/>
                <w:szCs w:val="21"/>
              </w:rPr>
            </w:pPr>
            <w:r w:rsidRPr="0093704B">
              <w:rPr>
                <w:kern w:val="0"/>
                <w:szCs w:val="21"/>
              </w:rPr>
              <w:t>255</w:t>
            </w:r>
          </w:p>
        </w:tc>
        <w:tc>
          <w:tcPr>
            <w:tcW w:w="897" w:type="pct"/>
            <w:shd w:val="clear" w:color="auto" w:fill="auto"/>
            <w:vAlign w:val="center"/>
          </w:tcPr>
          <w:p w14:paraId="55FAC758" w14:textId="77777777" w:rsidR="00637225" w:rsidRPr="0093704B" w:rsidRDefault="00286D31" w:rsidP="006013E0">
            <w:pPr>
              <w:widowControl/>
              <w:snapToGrid w:val="0"/>
              <w:spacing w:line="360" w:lineRule="auto"/>
              <w:jc w:val="center"/>
              <w:rPr>
                <w:kern w:val="0"/>
                <w:szCs w:val="21"/>
              </w:rPr>
            </w:pPr>
            <w:r w:rsidRPr="0093704B">
              <w:rPr>
                <w:kern w:val="0"/>
                <w:szCs w:val="21"/>
              </w:rPr>
              <w:t>50.7</w:t>
            </w:r>
          </w:p>
        </w:tc>
        <w:tc>
          <w:tcPr>
            <w:tcW w:w="1309" w:type="pct"/>
            <w:shd w:val="clear" w:color="auto" w:fill="auto"/>
            <w:vAlign w:val="center"/>
          </w:tcPr>
          <w:p w14:paraId="10BE527D" w14:textId="77777777" w:rsidR="00637225" w:rsidRPr="0093704B" w:rsidRDefault="00286D31" w:rsidP="006013E0">
            <w:pPr>
              <w:widowControl/>
              <w:snapToGrid w:val="0"/>
              <w:spacing w:line="360" w:lineRule="auto"/>
              <w:jc w:val="center"/>
              <w:rPr>
                <w:kern w:val="0"/>
                <w:szCs w:val="21"/>
              </w:rPr>
            </w:pPr>
            <w:r w:rsidRPr="0093704B">
              <w:rPr>
                <w:kern w:val="0"/>
                <w:szCs w:val="21"/>
              </w:rPr>
              <w:t>86.11</w:t>
            </w:r>
          </w:p>
        </w:tc>
        <w:tc>
          <w:tcPr>
            <w:tcW w:w="1006" w:type="pct"/>
            <w:shd w:val="clear" w:color="auto" w:fill="auto"/>
            <w:vAlign w:val="center"/>
          </w:tcPr>
          <w:p w14:paraId="706F3EE1" w14:textId="77777777" w:rsidR="00637225" w:rsidRPr="0093704B" w:rsidRDefault="00286D31" w:rsidP="006013E0">
            <w:pPr>
              <w:widowControl/>
              <w:snapToGrid w:val="0"/>
              <w:spacing w:line="360" w:lineRule="auto"/>
              <w:jc w:val="center"/>
              <w:rPr>
                <w:kern w:val="0"/>
                <w:szCs w:val="21"/>
              </w:rPr>
            </w:pPr>
            <w:r w:rsidRPr="0093704B">
              <w:rPr>
                <w:kern w:val="0"/>
                <w:szCs w:val="21"/>
              </w:rPr>
              <w:t>70.8</w:t>
            </w:r>
          </w:p>
        </w:tc>
      </w:tr>
      <w:tr w:rsidR="00637225" w:rsidRPr="0093704B" w14:paraId="1B00FFB6" w14:textId="77777777">
        <w:trPr>
          <w:trHeight w:val="290"/>
        </w:trPr>
        <w:tc>
          <w:tcPr>
            <w:tcW w:w="894" w:type="pct"/>
            <w:shd w:val="clear" w:color="auto" w:fill="auto"/>
            <w:vAlign w:val="center"/>
          </w:tcPr>
          <w:p w14:paraId="1085E583" w14:textId="77777777" w:rsidR="00637225" w:rsidRPr="0093704B" w:rsidRDefault="00286D31" w:rsidP="006013E0">
            <w:pPr>
              <w:widowControl/>
              <w:snapToGrid w:val="0"/>
              <w:spacing w:line="360" w:lineRule="auto"/>
              <w:rPr>
                <w:kern w:val="0"/>
                <w:szCs w:val="21"/>
              </w:rPr>
            </w:pPr>
            <w:r w:rsidRPr="0093704B">
              <w:rPr>
                <w:kern w:val="0"/>
                <w:szCs w:val="21"/>
              </w:rPr>
              <w:t>2.</w:t>
            </w:r>
            <w:r w:rsidRPr="0093704B">
              <w:rPr>
                <w:kern w:val="0"/>
                <w:szCs w:val="21"/>
              </w:rPr>
              <w:t>农用地</w:t>
            </w:r>
          </w:p>
        </w:tc>
        <w:tc>
          <w:tcPr>
            <w:tcW w:w="894" w:type="pct"/>
            <w:shd w:val="clear" w:color="auto" w:fill="auto"/>
            <w:vAlign w:val="center"/>
          </w:tcPr>
          <w:p w14:paraId="7BC28011" w14:textId="77777777" w:rsidR="00637225" w:rsidRPr="0093704B" w:rsidRDefault="00286D31" w:rsidP="006013E0">
            <w:pPr>
              <w:widowControl/>
              <w:snapToGrid w:val="0"/>
              <w:spacing w:line="360" w:lineRule="auto"/>
              <w:jc w:val="center"/>
              <w:rPr>
                <w:kern w:val="0"/>
                <w:szCs w:val="21"/>
              </w:rPr>
            </w:pPr>
            <w:r w:rsidRPr="0093704B">
              <w:rPr>
                <w:kern w:val="0"/>
                <w:szCs w:val="21"/>
              </w:rPr>
              <w:t>88</w:t>
            </w:r>
          </w:p>
        </w:tc>
        <w:tc>
          <w:tcPr>
            <w:tcW w:w="897" w:type="pct"/>
            <w:shd w:val="clear" w:color="auto" w:fill="auto"/>
            <w:vAlign w:val="center"/>
          </w:tcPr>
          <w:p w14:paraId="6FB81631" w14:textId="77777777" w:rsidR="00637225" w:rsidRPr="0093704B" w:rsidRDefault="00286D31" w:rsidP="006013E0">
            <w:pPr>
              <w:widowControl/>
              <w:snapToGrid w:val="0"/>
              <w:spacing w:line="360" w:lineRule="auto"/>
              <w:jc w:val="center"/>
              <w:rPr>
                <w:kern w:val="0"/>
                <w:szCs w:val="21"/>
              </w:rPr>
            </w:pPr>
            <w:r w:rsidRPr="0093704B">
              <w:rPr>
                <w:kern w:val="0"/>
                <w:szCs w:val="21"/>
              </w:rPr>
              <w:t>17.5</w:t>
            </w:r>
          </w:p>
        </w:tc>
        <w:tc>
          <w:tcPr>
            <w:tcW w:w="1309" w:type="pct"/>
            <w:shd w:val="clear" w:color="auto" w:fill="auto"/>
            <w:vAlign w:val="center"/>
          </w:tcPr>
          <w:p w14:paraId="0438461F" w14:textId="77777777" w:rsidR="00637225" w:rsidRPr="0093704B" w:rsidRDefault="00286D31" w:rsidP="006013E0">
            <w:pPr>
              <w:widowControl/>
              <w:snapToGrid w:val="0"/>
              <w:spacing w:line="360" w:lineRule="auto"/>
              <w:jc w:val="center"/>
              <w:rPr>
                <w:kern w:val="0"/>
                <w:szCs w:val="21"/>
              </w:rPr>
            </w:pPr>
            <w:r w:rsidRPr="0093704B">
              <w:rPr>
                <w:kern w:val="0"/>
                <w:szCs w:val="21"/>
              </w:rPr>
              <w:t>3.46</w:t>
            </w:r>
          </w:p>
        </w:tc>
        <w:tc>
          <w:tcPr>
            <w:tcW w:w="1006" w:type="pct"/>
            <w:shd w:val="clear" w:color="auto" w:fill="auto"/>
            <w:vAlign w:val="center"/>
          </w:tcPr>
          <w:p w14:paraId="7DE6D186" w14:textId="77777777" w:rsidR="00637225" w:rsidRPr="0093704B" w:rsidRDefault="00286D31" w:rsidP="006013E0">
            <w:pPr>
              <w:widowControl/>
              <w:snapToGrid w:val="0"/>
              <w:spacing w:line="360" w:lineRule="auto"/>
              <w:jc w:val="center"/>
              <w:rPr>
                <w:kern w:val="0"/>
                <w:szCs w:val="21"/>
              </w:rPr>
            </w:pPr>
            <w:r w:rsidRPr="0093704B">
              <w:rPr>
                <w:kern w:val="0"/>
                <w:szCs w:val="21"/>
              </w:rPr>
              <w:t>2.8</w:t>
            </w:r>
          </w:p>
        </w:tc>
      </w:tr>
      <w:tr w:rsidR="00637225" w:rsidRPr="0093704B" w14:paraId="525098A6" w14:textId="77777777">
        <w:trPr>
          <w:trHeight w:val="350"/>
        </w:trPr>
        <w:tc>
          <w:tcPr>
            <w:tcW w:w="894" w:type="pct"/>
            <w:shd w:val="clear" w:color="auto" w:fill="auto"/>
            <w:vAlign w:val="center"/>
          </w:tcPr>
          <w:p w14:paraId="105EB0AD" w14:textId="77777777" w:rsidR="00637225" w:rsidRPr="0093704B" w:rsidRDefault="00286D31" w:rsidP="006013E0">
            <w:pPr>
              <w:widowControl/>
              <w:snapToGrid w:val="0"/>
              <w:spacing w:line="360" w:lineRule="auto"/>
              <w:rPr>
                <w:kern w:val="0"/>
                <w:szCs w:val="21"/>
              </w:rPr>
            </w:pPr>
            <w:r w:rsidRPr="0093704B">
              <w:rPr>
                <w:kern w:val="0"/>
                <w:szCs w:val="21"/>
              </w:rPr>
              <w:t>3.</w:t>
            </w:r>
            <w:r w:rsidRPr="0093704B">
              <w:rPr>
                <w:kern w:val="0"/>
                <w:szCs w:val="21"/>
              </w:rPr>
              <w:t>矿山土壤</w:t>
            </w:r>
            <w:r w:rsidRPr="0093704B">
              <w:rPr>
                <w:kern w:val="0"/>
                <w:szCs w:val="21"/>
              </w:rPr>
              <w:t>/</w:t>
            </w:r>
            <w:r w:rsidRPr="0093704B">
              <w:rPr>
                <w:kern w:val="0"/>
                <w:szCs w:val="21"/>
              </w:rPr>
              <w:t>废渣</w:t>
            </w:r>
          </w:p>
        </w:tc>
        <w:tc>
          <w:tcPr>
            <w:tcW w:w="894" w:type="pct"/>
            <w:shd w:val="clear" w:color="auto" w:fill="auto"/>
            <w:vAlign w:val="center"/>
          </w:tcPr>
          <w:p w14:paraId="1BACA23C" w14:textId="77777777" w:rsidR="00637225" w:rsidRPr="0093704B" w:rsidRDefault="00286D31" w:rsidP="006013E0">
            <w:pPr>
              <w:widowControl/>
              <w:snapToGrid w:val="0"/>
              <w:spacing w:line="360" w:lineRule="auto"/>
              <w:jc w:val="center"/>
              <w:rPr>
                <w:kern w:val="0"/>
                <w:szCs w:val="21"/>
              </w:rPr>
            </w:pPr>
            <w:r w:rsidRPr="0093704B">
              <w:rPr>
                <w:kern w:val="0"/>
                <w:szCs w:val="21"/>
              </w:rPr>
              <w:t>49</w:t>
            </w:r>
          </w:p>
        </w:tc>
        <w:tc>
          <w:tcPr>
            <w:tcW w:w="897" w:type="pct"/>
            <w:shd w:val="clear" w:color="auto" w:fill="auto"/>
            <w:vAlign w:val="center"/>
          </w:tcPr>
          <w:p w14:paraId="48D892EA" w14:textId="77777777" w:rsidR="00637225" w:rsidRPr="0093704B" w:rsidRDefault="00286D31" w:rsidP="006013E0">
            <w:pPr>
              <w:widowControl/>
              <w:snapToGrid w:val="0"/>
              <w:spacing w:line="360" w:lineRule="auto"/>
              <w:jc w:val="center"/>
              <w:rPr>
                <w:kern w:val="0"/>
                <w:szCs w:val="21"/>
              </w:rPr>
            </w:pPr>
            <w:r w:rsidRPr="0093704B">
              <w:rPr>
                <w:kern w:val="0"/>
                <w:szCs w:val="21"/>
              </w:rPr>
              <w:t>9.7</w:t>
            </w:r>
          </w:p>
        </w:tc>
        <w:tc>
          <w:tcPr>
            <w:tcW w:w="1309" w:type="pct"/>
            <w:shd w:val="clear" w:color="auto" w:fill="auto"/>
            <w:vAlign w:val="center"/>
          </w:tcPr>
          <w:p w14:paraId="378900E9" w14:textId="77777777" w:rsidR="00637225" w:rsidRPr="0093704B" w:rsidRDefault="00286D31" w:rsidP="006013E0">
            <w:pPr>
              <w:widowControl/>
              <w:snapToGrid w:val="0"/>
              <w:spacing w:line="360" w:lineRule="auto"/>
              <w:jc w:val="center"/>
              <w:rPr>
                <w:kern w:val="0"/>
                <w:szCs w:val="21"/>
              </w:rPr>
            </w:pPr>
            <w:r w:rsidRPr="0093704B">
              <w:rPr>
                <w:kern w:val="0"/>
                <w:szCs w:val="21"/>
              </w:rPr>
              <w:t>10.06</w:t>
            </w:r>
          </w:p>
        </w:tc>
        <w:tc>
          <w:tcPr>
            <w:tcW w:w="1006" w:type="pct"/>
            <w:shd w:val="clear" w:color="auto" w:fill="auto"/>
            <w:vAlign w:val="center"/>
          </w:tcPr>
          <w:p w14:paraId="1DF4C5AF" w14:textId="77777777" w:rsidR="00637225" w:rsidRPr="0093704B" w:rsidRDefault="00286D31" w:rsidP="006013E0">
            <w:pPr>
              <w:widowControl/>
              <w:snapToGrid w:val="0"/>
              <w:spacing w:line="360" w:lineRule="auto"/>
              <w:jc w:val="center"/>
              <w:rPr>
                <w:kern w:val="0"/>
                <w:szCs w:val="21"/>
              </w:rPr>
            </w:pPr>
            <w:r w:rsidRPr="0093704B">
              <w:rPr>
                <w:kern w:val="0"/>
                <w:szCs w:val="21"/>
              </w:rPr>
              <w:t>8.3</w:t>
            </w:r>
          </w:p>
        </w:tc>
      </w:tr>
      <w:tr w:rsidR="00637225" w:rsidRPr="0093704B" w14:paraId="22A15E59" w14:textId="77777777">
        <w:trPr>
          <w:trHeight w:val="290"/>
        </w:trPr>
        <w:tc>
          <w:tcPr>
            <w:tcW w:w="894" w:type="pct"/>
            <w:shd w:val="clear" w:color="auto" w:fill="auto"/>
            <w:vAlign w:val="center"/>
          </w:tcPr>
          <w:p w14:paraId="78FCFC7B" w14:textId="77777777" w:rsidR="00637225" w:rsidRPr="0093704B" w:rsidRDefault="00286D31" w:rsidP="006013E0">
            <w:pPr>
              <w:widowControl/>
              <w:snapToGrid w:val="0"/>
              <w:spacing w:line="360" w:lineRule="auto"/>
              <w:rPr>
                <w:kern w:val="0"/>
                <w:szCs w:val="21"/>
              </w:rPr>
            </w:pPr>
            <w:r w:rsidRPr="0093704B">
              <w:rPr>
                <w:kern w:val="0"/>
                <w:szCs w:val="21"/>
              </w:rPr>
              <w:t>4.</w:t>
            </w:r>
            <w:r w:rsidRPr="0093704B">
              <w:rPr>
                <w:kern w:val="0"/>
                <w:szCs w:val="21"/>
              </w:rPr>
              <w:t>填埋场</w:t>
            </w:r>
          </w:p>
        </w:tc>
        <w:tc>
          <w:tcPr>
            <w:tcW w:w="894" w:type="pct"/>
            <w:shd w:val="clear" w:color="auto" w:fill="auto"/>
            <w:vAlign w:val="center"/>
          </w:tcPr>
          <w:p w14:paraId="1C6EF545" w14:textId="77777777" w:rsidR="00637225" w:rsidRPr="0093704B" w:rsidRDefault="00286D31" w:rsidP="006013E0">
            <w:pPr>
              <w:widowControl/>
              <w:snapToGrid w:val="0"/>
              <w:spacing w:line="360" w:lineRule="auto"/>
              <w:jc w:val="center"/>
              <w:rPr>
                <w:kern w:val="0"/>
                <w:szCs w:val="21"/>
              </w:rPr>
            </w:pPr>
            <w:r w:rsidRPr="0093704B">
              <w:rPr>
                <w:kern w:val="0"/>
                <w:szCs w:val="21"/>
              </w:rPr>
              <w:t>34</w:t>
            </w:r>
          </w:p>
        </w:tc>
        <w:tc>
          <w:tcPr>
            <w:tcW w:w="897" w:type="pct"/>
            <w:shd w:val="clear" w:color="auto" w:fill="auto"/>
            <w:vAlign w:val="center"/>
          </w:tcPr>
          <w:p w14:paraId="67C411D6" w14:textId="77777777" w:rsidR="00637225" w:rsidRPr="0093704B" w:rsidRDefault="00286D31" w:rsidP="006013E0">
            <w:pPr>
              <w:widowControl/>
              <w:snapToGrid w:val="0"/>
              <w:spacing w:line="360" w:lineRule="auto"/>
              <w:jc w:val="center"/>
              <w:rPr>
                <w:kern w:val="0"/>
                <w:szCs w:val="21"/>
              </w:rPr>
            </w:pPr>
            <w:r w:rsidRPr="0093704B">
              <w:rPr>
                <w:kern w:val="0"/>
                <w:szCs w:val="21"/>
              </w:rPr>
              <w:t>6.8</w:t>
            </w:r>
          </w:p>
        </w:tc>
        <w:tc>
          <w:tcPr>
            <w:tcW w:w="1309" w:type="pct"/>
            <w:shd w:val="clear" w:color="auto" w:fill="auto"/>
            <w:vAlign w:val="center"/>
          </w:tcPr>
          <w:p w14:paraId="67ED1A4D" w14:textId="77777777" w:rsidR="00637225" w:rsidRPr="0093704B" w:rsidRDefault="00286D31" w:rsidP="006013E0">
            <w:pPr>
              <w:widowControl/>
              <w:snapToGrid w:val="0"/>
              <w:spacing w:line="360" w:lineRule="auto"/>
              <w:jc w:val="center"/>
              <w:rPr>
                <w:kern w:val="0"/>
                <w:szCs w:val="21"/>
              </w:rPr>
            </w:pPr>
            <w:r w:rsidRPr="0093704B">
              <w:rPr>
                <w:kern w:val="0"/>
                <w:szCs w:val="21"/>
              </w:rPr>
              <w:t>10.42</w:t>
            </w:r>
          </w:p>
        </w:tc>
        <w:tc>
          <w:tcPr>
            <w:tcW w:w="1006" w:type="pct"/>
            <w:shd w:val="clear" w:color="auto" w:fill="auto"/>
            <w:vAlign w:val="center"/>
          </w:tcPr>
          <w:p w14:paraId="0E16FAD4" w14:textId="77777777" w:rsidR="00637225" w:rsidRPr="0093704B" w:rsidRDefault="00286D31" w:rsidP="006013E0">
            <w:pPr>
              <w:widowControl/>
              <w:snapToGrid w:val="0"/>
              <w:spacing w:line="360" w:lineRule="auto"/>
              <w:jc w:val="center"/>
              <w:rPr>
                <w:kern w:val="0"/>
                <w:szCs w:val="21"/>
              </w:rPr>
            </w:pPr>
            <w:r w:rsidRPr="0093704B">
              <w:rPr>
                <w:kern w:val="0"/>
                <w:szCs w:val="21"/>
              </w:rPr>
              <w:t>8.6</w:t>
            </w:r>
          </w:p>
        </w:tc>
      </w:tr>
      <w:tr w:rsidR="00637225" w:rsidRPr="0093704B" w14:paraId="1E0A977C" w14:textId="77777777">
        <w:trPr>
          <w:trHeight w:val="90"/>
        </w:trPr>
        <w:tc>
          <w:tcPr>
            <w:tcW w:w="894" w:type="pct"/>
            <w:shd w:val="clear" w:color="auto" w:fill="auto"/>
            <w:vAlign w:val="center"/>
          </w:tcPr>
          <w:p w14:paraId="23AD532D" w14:textId="77777777" w:rsidR="00637225" w:rsidRPr="0093704B" w:rsidRDefault="00286D31" w:rsidP="006013E0">
            <w:pPr>
              <w:widowControl/>
              <w:snapToGrid w:val="0"/>
              <w:spacing w:line="360" w:lineRule="auto"/>
              <w:rPr>
                <w:kern w:val="0"/>
                <w:szCs w:val="21"/>
              </w:rPr>
            </w:pPr>
            <w:r w:rsidRPr="0093704B">
              <w:rPr>
                <w:kern w:val="0"/>
                <w:szCs w:val="21"/>
              </w:rPr>
              <w:t>5.</w:t>
            </w:r>
            <w:r w:rsidRPr="0093704B">
              <w:rPr>
                <w:kern w:val="0"/>
                <w:szCs w:val="21"/>
              </w:rPr>
              <w:t>地下水</w:t>
            </w:r>
          </w:p>
        </w:tc>
        <w:tc>
          <w:tcPr>
            <w:tcW w:w="894" w:type="pct"/>
            <w:shd w:val="clear" w:color="auto" w:fill="auto"/>
            <w:vAlign w:val="center"/>
          </w:tcPr>
          <w:p w14:paraId="4B5CACD4" w14:textId="77777777" w:rsidR="00637225" w:rsidRPr="0093704B" w:rsidRDefault="00286D31" w:rsidP="006013E0">
            <w:pPr>
              <w:widowControl/>
              <w:snapToGrid w:val="0"/>
              <w:spacing w:line="360" w:lineRule="auto"/>
              <w:jc w:val="center"/>
              <w:rPr>
                <w:kern w:val="0"/>
                <w:szCs w:val="21"/>
              </w:rPr>
            </w:pPr>
            <w:r w:rsidRPr="0093704B">
              <w:rPr>
                <w:kern w:val="0"/>
                <w:szCs w:val="21"/>
              </w:rPr>
              <w:t>26</w:t>
            </w:r>
          </w:p>
        </w:tc>
        <w:tc>
          <w:tcPr>
            <w:tcW w:w="897" w:type="pct"/>
            <w:shd w:val="clear" w:color="auto" w:fill="auto"/>
            <w:vAlign w:val="center"/>
          </w:tcPr>
          <w:p w14:paraId="3D5F25CB" w14:textId="77777777" w:rsidR="00637225" w:rsidRPr="0093704B" w:rsidRDefault="00286D31" w:rsidP="006013E0">
            <w:pPr>
              <w:widowControl/>
              <w:snapToGrid w:val="0"/>
              <w:spacing w:line="360" w:lineRule="auto"/>
              <w:jc w:val="center"/>
              <w:rPr>
                <w:kern w:val="0"/>
                <w:szCs w:val="21"/>
              </w:rPr>
            </w:pPr>
            <w:r w:rsidRPr="0093704B">
              <w:rPr>
                <w:kern w:val="0"/>
                <w:szCs w:val="21"/>
              </w:rPr>
              <w:t>5.2</w:t>
            </w:r>
          </w:p>
        </w:tc>
        <w:tc>
          <w:tcPr>
            <w:tcW w:w="1309" w:type="pct"/>
            <w:shd w:val="clear" w:color="auto" w:fill="auto"/>
            <w:vAlign w:val="center"/>
          </w:tcPr>
          <w:p w14:paraId="0639C25A" w14:textId="77777777" w:rsidR="00637225" w:rsidRPr="0093704B" w:rsidRDefault="00286D31" w:rsidP="006013E0">
            <w:pPr>
              <w:widowControl/>
              <w:snapToGrid w:val="0"/>
              <w:spacing w:line="360" w:lineRule="auto"/>
              <w:jc w:val="center"/>
              <w:rPr>
                <w:kern w:val="0"/>
                <w:szCs w:val="21"/>
              </w:rPr>
            </w:pPr>
            <w:r w:rsidRPr="0093704B">
              <w:rPr>
                <w:kern w:val="0"/>
                <w:szCs w:val="21"/>
              </w:rPr>
              <w:t>3.62</w:t>
            </w:r>
          </w:p>
        </w:tc>
        <w:tc>
          <w:tcPr>
            <w:tcW w:w="1006" w:type="pct"/>
            <w:shd w:val="clear" w:color="auto" w:fill="auto"/>
            <w:vAlign w:val="center"/>
          </w:tcPr>
          <w:p w14:paraId="70E1B5DB" w14:textId="77777777" w:rsidR="00637225" w:rsidRPr="0093704B" w:rsidRDefault="00286D31" w:rsidP="006013E0">
            <w:pPr>
              <w:widowControl/>
              <w:snapToGrid w:val="0"/>
              <w:spacing w:line="360" w:lineRule="auto"/>
              <w:jc w:val="center"/>
              <w:rPr>
                <w:kern w:val="0"/>
                <w:szCs w:val="21"/>
              </w:rPr>
            </w:pPr>
            <w:r w:rsidRPr="0093704B">
              <w:rPr>
                <w:kern w:val="0"/>
                <w:szCs w:val="21"/>
              </w:rPr>
              <w:t>3.0</w:t>
            </w:r>
          </w:p>
        </w:tc>
      </w:tr>
      <w:tr w:rsidR="00637225" w:rsidRPr="0093704B" w14:paraId="30509CD5" w14:textId="77777777">
        <w:trPr>
          <w:trHeight w:val="354"/>
        </w:trPr>
        <w:tc>
          <w:tcPr>
            <w:tcW w:w="894" w:type="pct"/>
            <w:shd w:val="clear" w:color="auto" w:fill="auto"/>
            <w:vAlign w:val="center"/>
          </w:tcPr>
          <w:p w14:paraId="17622C84" w14:textId="77777777" w:rsidR="00637225" w:rsidRPr="0093704B" w:rsidRDefault="00286D31" w:rsidP="006013E0">
            <w:pPr>
              <w:widowControl/>
              <w:snapToGrid w:val="0"/>
              <w:spacing w:line="360" w:lineRule="auto"/>
              <w:rPr>
                <w:kern w:val="0"/>
                <w:szCs w:val="21"/>
              </w:rPr>
            </w:pPr>
            <w:r w:rsidRPr="0093704B">
              <w:rPr>
                <w:kern w:val="0"/>
                <w:szCs w:val="21"/>
              </w:rPr>
              <w:t>6.</w:t>
            </w:r>
            <w:r w:rsidRPr="0093704B">
              <w:rPr>
                <w:szCs w:val="21"/>
              </w:rPr>
              <w:t>水域用地</w:t>
            </w:r>
          </w:p>
        </w:tc>
        <w:tc>
          <w:tcPr>
            <w:tcW w:w="894" w:type="pct"/>
            <w:shd w:val="clear" w:color="auto" w:fill="auto"/>
            <w:vAlign w:val="center"/>
          </w:tcPr>
          <w:p w14:paraId="2C528DD5" w14:textId="77777777" w:rsidR="00637225" w:rsidRPr="0093704B" w:rsidRDefault="00286D31" w:rsidP="006013E0">
            <w:pPr>
              <w:widowControl/>
              <w:snapToGrid w:val="0"/>
              <w:spacing w:line="360" w:lineRule="auto"/>
              <w:jc w:val="center"/>
              <w:rPr>
                <w:kern w:val="0"/>
                <w:szCs w:val="21"/>
              </w:rPr>
            </w:pPr>
            <w:r w:rsidRPr="0093704B">
              <w:rPr>
                <w:kern w:val="0"/>
                <w:szCs w:val="21"/>
              </w:rPr>
              <w:t>16</w:t>
            </w:r>
          </w:p>
        </w:tc>
        <w:tc>
          <w:tcPr>
            <w:tcW w:w="897" w:type="pct"/>
            <w:shd w:val="clear" w:color="auto" w:fill="auto"/>
            <w:vAlign w:val="center"/>
          </w:tcPr>
          <w:p w14:paraId="761801F6" w14:textId="77777777" w:rsidR="00637225" w:rsidRPr="0093704B" w:rsidRDefault="00286D31" w:rsidP="006013E0">
            <w:pPr>
              <w:widowControl/>
              <w:snapToGrid w:val="0"/>
              <w:spacing w:line="360" w:lineRule="auto"/>
              <w:jc w:val="center"/>
              <w:rPr>
                <w:kern w:val="0"/>
                <w:szCs w:val="21"/>
              </w:rPr>
            </w:pPr>
            <w:r w:rsidRPr="0093704B">
              <w:rPr>
                <w:kern w:val="0"/>
                <w:szCs w:val="21"/>
              </w:rPr>
              <w:t>3.2</w:t>
            </w:r>
          </w:p>
        </w:tc>
        <w:tc>
          <w:tcPr>
            <w:tcW w:w="1309" w:type="pct"/>
            <w:shd w:val="clear" w:color="auto" w:fill="auto"/>
            <w:vAlign w:val="center"/>
          </w:tcPr>
          <w:p w14:paraId="1210358D" w14:textId="77777777" w:rsidR="00637225" w:rsidRPr="0093704B" w:rsidRDefault="00286D31" w:rsidP="006013E0">
            <w:pPr>
              <w:widowControl/>
              <w:snapToGrid w:val="0"/>
              <w:spacing w:line="360" w:lineRule="auto"/>
              <w:jc w:val="center"/>
              <w:rPr>
                <w:kern w:val="0"/>
                <w:szCs w:val="21"/>
              </w:rPr>
            </w:pPr>
            <w:r w:rsidRPr="0093704B">
              <w:rPr>
                <w:kern w:val="0"/>
                <w:szCs w:val="21"/>
              </w:rPr>
              <w:t>2.17</w:t>
            </w:r>
          </w:p>
        </w:tc>
        <w:tc>
          <w:tcPr>
            <w:tcW w:w="1006" w:type="pct"/>
            <w:shd w:val="clear" w:color="auto" w:fill="auto"/>
            <w:vAlign w:val="center"/>
          </w:tcPr>
          <w:p w14:paraId="12E32D61" w14:textId="77777777" w:rsidR="00637225" w:rsidRPr="0093704B" w:rsidRDefault="00286D31" w:rsidP="006013E0">
            <w:pPr>
              <w:widowControl/>
              <w:snapToGrid w:val="0"/>
              <w:spacing w:line="360" w:lineRule="auto"/>
              <w:jc w:val="center"/>
              <w:rPr>
                <w:kern w:val="0"/>
                <w:szCs w:val="21"/>
              </w:rPr>
            </w:pPr>
            <w:r w:rsidRPr="0093704B">
              <w:rPr>
                <w:kern w:val="0"/>
                <w:szCs w:val="21"/>
              </w:rPr>
              <w:t>1.8</w:t>
            </w:r>
          </w:p>
        </w:tc>
      </w:tr>
      <w:tr w:rsidR="00637225" w:rsidRPr="0093704B" w14:paraId="1465EF8E" w14:textId="77777777">
        <w:trPr>
          <w:trHeight w:val="290"/>
        </w:trPr>
        <w:tc>
          <w:tcPr>
            <w:tcW w:w="894" w:type="pct"/>
            <w:shd w:val="clear" w:color="auto" w:fill="auto"/>
            <w:vAlign w:val="center"/>
          </w:tcPr>
          <w:p w14:paraId="1F9D72DE" w14:textId="77777777" w:rsidR="00637225" w:rsidRPr="0093704B" w:rsidRDefault="00286D31" w:rsidP="006013E0">
            <w:pPr>
              <w:widowControl/>
              <w:snapToGrid w:val="0"/>
              <w:spacing w:line="360" w:lineRule="auto"/>
              <w:rPr>
                <w:kern w:val="0"/>
                <w:szCs w:val="21"/>
              </w:rPr>
            </w:pPr>
            <w:r w:rsidRPr="0093704B">
              <w:rPr>
                <w:kern w:val="0"/>
                <w:szCs w:val="21"/>
              </w:rPr>
              <w:t>7.</w:t>
            </w:r>
            <w:r w:rsidRPr="0093704B">
              <w:rPr>
                <w:kern w:val="0"/>
                <w:szCs w:val="21"/>
              </w:rPr>
              <w:t>其他</w:t>
            </w:r>
          </w:p>
        </w:tc>
        <w:tc>
          <w:tcPr>
            <w:tcW w:w="894" w:type="pct"/>
            <w:shd w:val="clear" w:color="auto" w:fill="auto"/>
            <w:vAlign w:val="center"/>
          </w:tcPr>
          <w:p w14:paraId="764C802B" w14:textId="77777777" w:rsidR="00637225" w:rsidRPr="0093704B" w:rsidRDefault="00286D31" w:rsidP="006013E0">
            <w:pPr>
              <w:widowControl/>
              <w:snapToGrid w:val="0"/>
              <w:spacing w:line="360" w:lineRule="auto"/>
              <w:jc w:val="center"/>
              <w:rPr>
                <w:kern w:val="0"/>
                <w:szCs w:val="21"/>
              </w:rPr>
            </w:pPr>
            <w:r w:rsidRPr="0093704B">
              <w:rPr>
                <w:kern w:val="0"/>
                <w:szCs w:val="21"/>
              </w:rPr>
              <w:t>35</w:t>
            </w:r>
          </w:p>
        </w:tc>
        <w:tc>
          <w:tcPr>
            <w:tcW w:w="897" w:type="pct"/>
            <w:shd w:val="clear" w:color="auto" w:fill="auto"/>
            <w:vAlign w:val="center"/>
          </w:tcPr>
          <w:p w14:paraId="6FDDE36F" w14:textId="77777777" w:rsidR="00637225" w:rsidRPr="0093704B" w:rsidRDefault="00286D31" w:rsidP="006013E0">
            <w:pPr>
              <w:widowControl/>
              <w:snapToGrid w:val="0"/>
              <w:spacing w:line="360" w:lineRule="auto"/>
              <w:jc w:val="center"/>
              <w:rPr>
                <w:kern w:val="0"/>
                <w:szCs w:val="21"/>
              </w:rPr>
            </w:pPr>
            <w:r w:rsidRPr="0093704B">
              <w:rPr>
                <w:kern w:val="0"/>
                <w:szCs w:val="21"/>
              </w:rPr>
              <w:t>7.0</w:t>
            </w:r>
          </w:p>
        </w:tc>
        <w:tc>
          <w:tcPr>
            <w:tcW w:w="1309" w:type="pct"/>
            <w:shd w:val="clear" w:color="auto" w:fill="auto"/>
            <w:vAlign w:val="center"/>
          </w:tcPr>
          <w:p w14:paraId="2E6B163B" w14:textId="77777777" w:rsidR="00637225" w:rsidRPr="0093704B" w:rsidRDefault="00286D31" w:rsidP="006013E0">
            <w:pPr>
              <w:widowControl/>
              <w:snapToGrid w:val="0"/>
              <w:spacing w:line="360" w:lineRule="auto"/>
              <w:jc w:val="center"/>
              <w:rPr>
                <w:kern w:val="0"/>
                <w:szCs w:val="21"/>
              </w:rPr>
            </w:pPr>
            <w:r w:rsidRPr="0093704B">
              <w:rPr>
                <w:kern w:val="0"/>
                <w:szCs w:val="21"/>
              </w:rPr>
              <w:t>5.71</w:t>
            </w:r>
          </w:p>
        </w:tc>
        <w:tc>
          <w:tcPr>
            <w:tcW w:w="1006" w:type="pct"/>
            <w:shd w:val="clear" w:color="auto" w:fill="auto"/>
            <w:vAlign w:val="center"/>
          </w:tcPr>
          <w:p w14:paraId="5D40A77B" w14:textId="77777777" w:rsidR="00637225" w:rsidRPr="0093704B" w:rsidRDefault="00286D31" w:rsidP="006013E0">
            <w:pPr>
              <w:widowControl/>
              <w:snapToGrid w:val="0"/>
              <w:spacing w:line="360" w:lineRule="auto"/>
              <w:jc w:val="center"/>
              <w:rPr>
                <w:kern w:val="0"/>
                <w:szCs w:val="21"/>
              </w:rPr>
            </w:pPr>
            <w:r w:rsidRPr="0093704B">
              <w:rPr>
                <w:kern w:val="0"/>
                <w:szCs w:val="21"/>
              </w:rPr>
              <w:t>4.7</w:t>
            </w:r>
          </w:p>
        </w:tc>
      </w:tr>
    </w:tbl>
    <w:p w14:paraId="25A3D435" w14:textId="77777777" w:rsidR="00637225" w:rsidRDefault="00637225" w:rsidP="006013E0">
      <w:pPr>
        <w:snapToGrid w:val="0"/>
        <w:spacing w:line="360" w:lineRule="auto"/>
        <w:rPr>
          <w:rFonts w:asciiTheme="minorEastAsia" w:eastAsiaTheme="minorEastAsia" w:hAnsiTheme="minorEastAsia"/>
        </w:rPr>
      </w:pPr>
    </w:p>
    <w:p w14:paraId="1910C2E2" w14:textId="77777777" w:rsidR="00637225" w:rsidRDefault="00286D31" w:rsidP="006013E0">
      <w:pPr>
        <w:snapToGrid w:val="0"/>
        <w:spacing w:line="360" w:lineRule="auto"/>
        <w:jc w:val="center"/>
        <w:rPr>
          <w:rFonts w:asciiTheme="minorEastAsia" w:eastAsiaTheme="minorEastAsia" w:hAnsiTheme="minorEastAsia"/>
        </w:rPr>
      </w:pPr>
      <w:r>
        <w:rPr>
          <w:noProof/>
        </w:rPr>
        <w:drawing>
          <wp:inline distT="0" distB="0" distL="0" distR="0" wp14:anchorId="73CD83BA" wp14:editId="173B0DDB">
            <wp:extent cx="4874260" cy="3043078"/>
            <wp:effectExtent l="0" t="0" r="254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9"/>
                    <a:stretch>
                      <a:fillRect/>
                    </a:stretch>
                  </pic:blipFill>
                  <pic:spPr>
                    <a:xfrm>
                      <a:off x="0" y="0"/>
                      <a:ext cx="4876797" cy="3044662"/>
                    </a:xfrm>
                    <a:prstGeom prst="rect">
                      <a:avLst/>
                    </a:prstGeom>
                  </pic:spPr>
                </pic:pic>
              </a:graphicData>
            </a:graphic>
          </wp:inline>
        </w:drawing>
      </w:r>
    </w:p>
    <w:p w14:paraId="33111279"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 xml:space="preserve">图3-2  </w:t>
      </w:r>
      <w:r w:rsidRPr="002249DB">
        <w:rPr>
          <w:rFonts w:ascii="宋体" w:hAnsi="宋体"/>
          <w:b/>
          <w:bCs/>
        </w:rPr>
        <w:t>20</w:t>
      </w:r>
      <w:r w:rsidRPr="002249DB">
        <w:rPr>
          <w:rFonts w:ascii="宋体" w:hAnsi="宋体" w:hint="eastAsia"/>
          <w:b/>
          <w:bCs/>
        </w:rPr>
        <w:t>21年不同用地类型的修复工程项目数量和项目金额对比</w:t>
      </w:r>
    </w:p>
    <w:p w14:paraId="30FE728A"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14" w:name="_Toc84571971"/>
      <w:bookmarkStart w:id="15" w:name="_Toc82614265"/>
      <w:bookmarkStart w:id="16" w:name="_Toc64574177"/>
      <w:r w:rsidRPr="002249DB">
        <w:rPr>
          <w:rFonts w:eastAsia="黑体" w:hint="eastAsia"/>
          <w:color w:val="000000" w:themeColor="text1"/>
        </w:rPr>
        <w:t>3.2</w:t>
      </w:r>
      <w:r w:rsidRPr="002249DB">
        <w:rPr>
          <w:rFonts w:eastAsia="黑体" w:hint="eastAsia"/>
          <w:color w:val="000000" w:themeColor="text1"/>
        </w:rPr>
        <w:t>项目空间分布</w:t>
      </w:r>
      <w:bookmarkEnd w:id="14"/>
      <w:bookmarkEnd w:id="15"/>
      <w:bookmarkEnd w:id="16"/>
    </w:p>
    <w:p w14:paraId="2C7CF605"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3.2.1</w:t>
      </w:r>
      <w:r w:rsidRPr="002249DB">
        <w:rPr>
          <w:rFonts w:eastAsia="黑体" w:cs="Times New Roman" w:hint="eastAsia"/>
          <w:color w:val="000000" w:themeColor="text1"/>
          <w:sz w:val="28"/>
          <w:szCs w:val="28"/>
        </w:rPr>
        <w:t>重点省份</w:t>
      </w:r>
    </w:p>
    <w:p w14:paraId="50F6E825"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bookmarkStart w:id="17" w:name="_Hlk83197914"/>
      <w:r>
        <w:rPr>
          <w:rFonts w:asciiTheme="minorEastAsia" w:eastAsiaTheme="minorEastAsia" w:hAnsiTheme="minorEastAsia" w:hint="eastAsia"/>
          <w:sz w:val="24"/>
        </w:rPr>
        <w:t>图3-3是2021年30个省（区、市）项目金额和项目数量对比。</w:t>
      </w:r>
    </w:p>
    <w:p w14:paraId="2B34B47A"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从项目金额来看，2021年重庆启动的修复工程项目金额最高，达到23.84亿元。排在前2-5名的省份分别是浙江、江苏、安徽、山东，项目金额在6.16亿-13.07亿元之间。排名6-15名的分别是广东、湖南、天津、湖北、云南等省（区、市），项目金额在1.39亿-6.14亿之间。贵州、海南、黑龙江、吉林和宁夏等省（区）项目金额均在5000万元以下。</w:t>
      </w:r>
    </w:p>
    <w:p w14:paraId="1FFC686A"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从项目数量来看，排名1-6位的湖南、湖北、浙江、江苏、重庆和山东等省（区、市）项目数量均大于30项，其中湖南省土壤修复工程项目数量领先较多，达到60项。排名7-12位的广东、四川、江西、上海、云南和广西等省（区、市）为第二梯队，项目数量均大于20项。有10个省（区）项目数量在5个以下。不同省份之间差异较大。</w:t>
      </w:r>
    </w:p>
    <w:bookmarkEnd w:id="17"/>
    <w:p w14:paraId="313E77E9" w14:textId="77777777" w:rsidR="00637225" w:rsidRDefault="00286D31" w:rsidP="006013E0">
      <w:pPr>
        <w:pStyle w:val="af0"/>
        <w:spacing w:line="360" w:lineRule="auto"/>
        <w:ind w:firstLine="0"/>
        <w:rPr>
          <w:rFonts w:asciiTheme="minorEastAsia" w:eastAsiaTheme="minorEastAsia" w:hAnsiTheme="minorEastAsia"/>
          <w:color w:val="auto"/>
        </w:rPr>
      </w:pPr>
      <w:r>
        <w:rPr>
          <w:noProof/>
        </w:rPr>
        <w:lastRenderedPageBreak/>
        <w:drawing>
          <wp:inline distT="0" distB="0" distL="0" distR="0" wp14:anchorId="6CE2BF17" wp14:editId="51C9D149">
            <wp:extent cx="2631440" cy="5931535"/>
            <wp:effectExtent l="0" t="0" r="16510" b="1206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466EC824" wp14:editId="2300F920">
            <wp:extent cx="2576195" cy="5929630"/>
            <wp:effectExtent l="0" t="0" r="14605" b="1397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8AF179"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图3-3 2021年各省（区、市）启动的修复工程项目的金额和数量对比</w:t>
      </w:r>
    </w:p>
    <w:p w14:paraId="215E81E8" w14:textId="77777777" w:rsidR="00637225" w:rsidRPr="002249DB" w:rsidRDefault="00286D31" w:rsidP="002249DB">
      <w:pPr>
        <w:pStyle w:val="3"/>
        <w:snapToGrid w:val="0"/>
        <w:ind w:firstLineChars="0" w:firstLine="0"/>
        <w:rPr>
          <w:rFonts w:eastAsia="黑体" w:cs="Times New Roman"/>
          <w:color w:val="000000" w:themeColor="text1"/>
          <w:sz w:val="28"/>
          <w:szCs w:val="28"/>
        </w:rPr>
      </w:pPr>
      <w:r w:rsidRPr="002249DB">
        <w:rPr>
          <w:rFonts w:eastAsia="黑体" w:cs="Times New Roman" w:hint="eastAsia"/>
          <w:color w:val="000000" w:themeColor="text1"/>
          <w:sz w:val="28"/>
          <w:szCs w:val="28"/>
        </w:rPr>
        <w:t>3.2.2</w:t>
      </w:r>
      <w:r w:rsidRPr="002249DB">
        <w:rPr>
          <w:rFonts w:eastAsia="黑体" w:cs="Times New Roman" w:hint="eastAsia"/>
          <w:color w:val="000000" w:themeColor="text1"/>
          <w:sz w:val="28"/>
          <w:szCs w:val="28"/>
        </w:rPr>
        <w:t>重点城市</w:t>
      </w:r>
    </w:p>
    <w:p w14:paraId="41AA57AE"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由图3-4可知，从项目金额来看，2</w:t>
      </w:r>
      <w:r>
        <w:rPr>
          <w:rFonts w:asciiTheme="minorEastAsia" w:eastAsiaTheme="minorEastAsia" w:hAnsiTheme="minorEastAsia"/>
          <w:sz w:val="24"/>
        </w:rPr>
        <w:t>02</w:t>
      </w:r>
      <w:r>
        <w:rPr>
          <w:rFonts w:asciiTheme="minorEastAsia" w:eastAsiaTheme="minorEastAsia" w:hAnsiTheme="minorEastAsia" w:hint="eastAsia"/>
          <w:sz w:val="24"/>
        </w:rPr>
        <w:t>1年全国修复工程项目总金额在1亿元以上的城市共计25个，其中前10名城市分别是杭州（9.02亿元）、合肥、青岛、昆明、泰州、南京、常州、广州、中山和宁波（1.72亿元），项目金额合计为42.9亿元，占全国修复类项目总金额的三分之一左右（约35.3%）。从表3-2中可以看出，全国前10位的城市中建设用地类型的修复工程均占比最大，只有昆明市占比最大的是为矿山/废渣治理类工程。</w:t>
      </w:r>
    </w:p>
    <w:p w14:paraId="3EF2831B" w14:textId="77777777" w:rsidR="00637225" w:rsidRDefault="00723B98" w:rsidP="006013E0">
      <w:pPr>
        <w:pStyle w:val="aa"/>
        <w:topLinePunct/>
        <w:snapToGrid w:val="0"/>
        <w:spacing w:before="0" w:after="0" w:line="360" w:lineRule="auto"/>
        <w:textAlignment w:val="auto"/>
        <w:rPr>
          <w:color w:val="auto"/>
        </w:rPr>
      </w:pPr>
      <w:r>
        <w:rPr>
          <w:noProof/>
        </w:rPr>
        <w:lastRenderedPageBreak/>
        <w:drawing>
          <wp:inline distT="0" distB="0" distL="0" distR="0" wp14:anchorId="7762179D" wp14:editId="765B1A91">
            <wp:extent cx="4461510" cy="2511523"/>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72371" cy="2517637"/>
                    </a:xfrm>
                    <a:prstGeom prst="rect">
                      <a:avLst/>
                    </a:prstGeom>
                  </pic:spPr>
                </pic:pic>
              </a:graphicData>
            </a:graphic>
          </wp:inline>
        </w:drawing>
      </w:r>
    </w:p>
    <w:p w14:paraId="789C74ED"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图3-4  2021年修复类项目金额排全国前10位的城市名称及项目金额</w:t>
      </w:r>
    </w:p>
    <w:p w14:paraId="253EAB4D"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其中，杭州2021年修复工程项目数量16个，钢铁行业遗留场地修复工程6个，项目金额7.63亿，占杭州全年修工程项目总金额84.6%；化工行业修复项目4个，项目金额0.64亿，占杭州全年修工程项目总金额10%。</w:t>
      </w:r>
    </w:p>
    <w:p w14:paraId="703E5E8B"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合肥2021年修复工程项目数量8个，钢铁行业遗留场地修复工程2个，项目金额4.0亿，占杭州全年修工程项目总金额51.3%；化工行业修复项目4个，项目金额1.2亿，占杭州全年修工程项目总金额14.5%。</w:t>
      </w:r>
    </w:p>
    <w:p w14:paraId="23BDF5D5" w14:textId="77777777" w:rsidR="00637225" w:rsidRDefault="00286D31" w:rsidP="006013E0">
      <w:pPr>
        <w:snapToGrid w:val="0"/>
        <w:spacing w:line="360" w:lineRule="auto"/>
        <w:ind w:firstLineChars="200" w:firstLine="480"/>
        <w:jc w:val="left"/>
      </w:pPr>
      <w:r>
        <w:rPr>
          <w:rFonts w:asciiTheme="minorEastAsia" w:eastAsiaTheme="minorEastAsia" w:hAnsiTheme="minorEastAsia" w:hint="eastAsia"/>
          <w:sz w:val="24"/>
        </w:rPr>
        <w:t>青岛、中山、宁波等地修复工程场地类别交单一，</w:t>
      </w:r>
      <w:r w:rsidR="006420A5">
        <w:rPr>
          <w:rFonts w:asciiTheme="minorEastAsia" w:eastAsiaTheme="minorEastAsia" w:hAnsiTheme="minorEastAsia" w:hint="eastAsia"/>
          <w:sz w:val="24"/>
        </w:rPr>
        <w:t>主要以地块修复为主</w:t>
      </w:r>
      <w:r>
        <w:rPr>
          <w:rFonts w:asciiTheme="minorEastAsia" w:eastAsiaTheme="minorEastAsia" w:hAnsiTheme="minorEastAsia" w:hint="eastAsia"/>
          <w:sz w:val="24"/>
        </w:rPr>
        <w:t>。</w:t>
      </w:r>
    </w:p>
    <w:p w14:paraId="498C9F41"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表3-2 2021年项目金额排全国前10位的城市工程项目类别分析</w:t>
      </w:r>
    </w:p>
    <w:tbl>
      <w:tblPr>
        <w:tblStyle w:val="ac"/>
        <w:tblW w:w="0" w:type="auto"/>
        <w:tblLook w:val="04A0" w:firstRow="1" w:lastRow="0" w:firstColumn="1" w:lastColumn="0" w:noHBand="0" w:noVBand="1"/>
      </w:tblPr>
      <w:tblGrid>
        <w:gridCol w:w="1951"/>
        <w:gridCol w:w="2359"/>
        <w:gridCol w:w="2156"/>
        <w:gridCol w:w="2156"/>
      </w:tblGrid>
      <w:tr w:rsidR="00637225" w:rsidRPr="0093704B" w14:paraId="3898BB00" w14:textId="77777777" w:rsidTr="0093704B">
        <w:trPr>
          <w:tblHeader/>
        </w:trPr>
        <w:tc>
          <w:tcPr>
            <w:tcW w:w="1951" w:type="dxa"/>
            <w:vAlign w:val="center"/>
          </w:tcPr>
          <w:p w14:paraId="32C66744"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城市</w:t>
            </w:r>
          </w:p>
        </w:tc>
        <w:tc>
          <w:tcPr>
            <w:tcW w:w="2359" w:type="dxa"/>
            <w:vAlign w:val="center"/>
          </w:tcPr>
          <w:p w14:paraId="00746FB4"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场地类别</w:t>
            </w:r>
          </w:p>
        </w:tc>
        <w:tc>
          <w:tcPr>
            <w:tcW w:w="2156" w:type="dxa"/>
            <w:vAlign w:val="center"/>
          </w:tcPr>
          <w:p w14:paraId="0DEDF142"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项目金额（万元）</w:t>
            </w:r>
          </w:p>
        </w:tc>
        <w:tc>
          <w:tcPr>
            <w:tcW w:w="2156" w:type="dxa"/>
            <w:vAlign w:val="center"/>
          </w:tcPr>
          <w:p w14:paraId="7C4D3289"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项目金额汇总（万元）</w:t>
            </w:r>
          </w:p>
        </w:tc>
      </w:tr>
      <w:tr w:rsidR="00637225" w:rsidRPr="0093704B" w14:paraId="2D1C7E70" w14:textId="77777777" w:rsidTr="0093704B">
        <w:tc>
          <w:tcPr>
            <w:tcW w:w="1951" w:type="dxa"/>
            <w:vMerge w:val="restart"/>
            <w:vAlign w:val="center"/>
          </w:tcPr>
          <w:p w14:paraId="564ACF95"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杭州</w:t>
            </w:r>
          </w:p>
        </w:tc>
        <w:tc>
          <w:tcPr>
            <w:tcW w:w="2359" w:type="dxa"/>
            <w:vAlign w:val="center"/>
          </w:tcPr>
          <w:p w14:paraId="0F0A6624"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建设用地</w:t>
            </w:r>
          </w:p>
        </w:tc>
        <w:tc>
          <w:tcPr>
            <w:tcW w:w="2156" w:type="dxa"/>
            <w:vAlign w:val="center"/>
          </w:tcPr>
          <w:p w14:paraId="1CFD32D8"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90021.7</w:t>
            </w:r>
          </w:p>
        </w:tc>
        <w:tc>
          <w:tcPr>
            <w:tcW w:w="2156" w:type="dxa"/>
            <w:vMerge w:val="restart"/>
            <w:vAlign w:val="center"/>
          </w:tcPr>
          <w:p w14:paraId="3894520D"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r w:rsidRPr="0093704B">
              <w:rPr>
                <w:rFonts w:ascii="Times New Roman" w:eastAsia="宋体" w:hAnsi="Times New Roman"/>
                <w:b w:val="0"/>
                <w:bCs/>
                <w:color w:val="auto"/>
                <w:spacing w:val="0"/>
                <w:kern w:val="21"/>
                <w:sz w:val="21"/>
                <w:szCs w:val="21"/>
              </w:rPr>
              <w:t>90175.5</w:t>
            </w:r>
          </w:p>
        </w:tc>
      </w:tr>
      <w:tr w:rsidR="00637225" w:rsidRPr="0093704B" w14:paraId="74A4F071" w14:textId="77777777" w:rsidTr="0093704B">
        <w:tc>
          <w:tcPr>
            <w:tcW w:w="1951" w:type="dxa"/>
            <w:vMerge/>
            <w:vAlign w:val="center"/>
          </w:tcPr>
          <w:p w14:paraId="392B4DA1"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4D4DE324"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填埋场</w:t>
            </w:r>
          </w:p>
        </w:tc>
        <w:tc>
          <w:tcPr>
            <w:tcW w:w="2156" w:type="dxa"/>
            <w:vAlign w:val="center"/>
          </w:tcPr>
          <w:p w14:paraId="400FCB1F"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153.8</w:t>
            </w:r>
          </w:p>
        </w:tc>
        <w:tc>
          <w:tcPr>
            <w:tcW w:w="2156" w:type="dxa"/>
            <w:vMerge/>
            <w:vAlign w:val="center"/>
          </w:tcPr>
          <w:p w14:paraId="38F04572"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78C48203" w14:textId="77777777" w:rsidTr="0093704B">
        <w:tc>
          <w:tcPr>
            <w:tcW w:w="1951" w:type="dxa"/>
            <w:vMerge w:val="restart"/>
            <w:vAlign w:val="center"/>
          </w:tcPr>
          <w:p w14:paraId="76A90A92"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合肥</w:t>
            </w:r>
          </w:p>
        </w:tc>
        <w:tc>
          <w:tcPr>
            <w:tcW w:w="2359" w:type="dxa"/>
            <w:vAlign w:val="center"/>
          </w:tcPr>
          <w:p w14:paraId="4E07760E"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建设用地</w:t>
            </w:r>
          </w:p>
        </w:tc>
        <w:tc>
          <w:tcPr>
            <w:tcW w:w="2156" w:type="dxa"/>
            <w:vAlign w:val="center"/>
          </w:tcPr>
          <w:p w14:paraId="0F48CA09"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51924.3</w:t>
            </w:r>
          </w:p>
        </w:tc>
        <w:tc>
          <w:tcPr>
            <w:tcW w:w="2156" w:type="dxa"/>
            <w:vMerge w:val="restart"/>
            <w:vAlign w:val="center"/>
          </w:tcPr>
          <w:p w14:paraId="767B71AA"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83335.6</w:t>
            </w:r>
          </w:p>
        </w:tc>
      </w:tr>
      <w:tr w:rsidR="00637225" w:rsidRPr="0093704B" w14:paraId="0F2D767F" w14:textId="77777777" w:rsidTr="0093704B">
        <w:tc>
          <w:tcPr>
            <w:tcW w:w="1951" w:type="dxa"/>
            <w:vMerge/>
            <w:vAlign w:val="center"/>
          </w:tcPr>
          <w:p w14:paraId="25BCA5A7"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512BB52F"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填埋场修复</w:t>
            </w:r>
          </w:p>
        </w:tc>
        <w:tc>
          <w:tcPr>
            <w:tcW w:w="2156" w:type="dxa"/>
            <w:vAlign w:val="center"/>
          </w:tcPr>
          <w:p w14:paraId="14D2AAC9"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31411.3</w:t>
            </w:r>
          </w:p>
        </w:tc>
        <w:tc>
          <w:tcPr>
            <w:tcW w:w="2156" w:type="dxa"/>
            <w:vMerge/>
            <w:vAlign w:val="center"/>
          </w:tcPr>
          <w:p w14:paraId="70EEAB45"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1BA79658" w14:textId="77777777" w:rsidTr="0093704B">
        <w:trPr>
          <w:trHeight w:val="444"/>
        </w:trPr>
        <w:tc>
          <w:tcPr>
            <w:tcW w:w="1951" w:type="dxa"/>
            <w:vAlign w:val="center"/>
          </w:tcPr>
          <w:p w14:paraId="5E27A680"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青岛</w:t>
            </w:r>
          </w:p>
        </w:tc>
        <w:tc>
          <w:tcPr>
            <w:tcW w:w="2359" w:type="dxa"/>
            <w:vAlign w:val="center"/>
          </w:tcPr>
          <w:p w14:paraId="322B5777"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建设用地</w:t>
            </w:r>
          </w:p>
        </w:tc>
        <w:tc>
          <w:tcPr>
            <w:tcW w:w="2156" w:type="dxa"/>
            <w:vAlign w:val="center"/>
          </w:tcPr>
          <w:p w14:paraId="43C73756"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59605.2</w:t>
            </w:r>
          </w:p>
        </w:tc>
        <w:tc>
          <w:tcPr>
            <w:tcW w:w="2156" w:type="dxa"/>
            <w:vAlign w:val="center"/>
          </w:tcPr>
          <w:p w14:paraId="4CA2C68B"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59605.2</w:t>
            </w:r>
          </w:p>
        </w:tc>
      </w:tr>
      <w:tr w:rsidR="00637225" w:rsidRPr="0093704B" w14:paraId="06D5F01C" w14:textId="77777777" w:rsidTr="0093704B">
        <w:tc>
          <w:tcPr>
            <w:tcW w:w="1951" w:type="dxa"/>
            <w:vMerge w:val="restart"/>
            <w:vAlign w:val="center"/>
          </w:tcPr>
          <w:p w14:paraId="073F6B44"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昆明</w:t>
            </w:r>
          </w:p>
        </w:tc>
        <w:tc>
          <w:tcPr>
            <w:tcW w:w="2359" w:type="dxa"/>
            <w:vAlign w:val="center"/>
          </w:tcPr>
          <w:p w14:paraId="2702B325"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地下水</w:t>
            </w:r>
          </w:p>
        </w:tc>
        <w:tc>
          <w:tcPr>
            <w:tcW w:w="2156" w:type="dxa"/>
            <w:vAlign w:val="center"/>
          </w:tcPr>
          <w:p w14:paraId="2D9F690F"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78.0</w:t>
            </w:r>
          </w:p>
        </w:tc>
        <w:tc>
          <w:tcPr>
            <w:tcW w:w="2156" w:type="dxa"/>
            <w:vMerge w:val="restart"/>
            <w:vAlign w:val="center"/>
          </w:tcPr>
          <w:p w14:paraId="578E3D63"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37324.8</w:t>
            </w:r>
          </w:p>
        </w:tc>
      </w:tr>
      <w:tr w:rsidR="00637225" w:rsidRPr="0093704B" w14:paraId="5ACC3B9E" w14:textId="77777777" w:rsidTr="0093704B">
        <w:tc>
          <w:tcPr>
            <w:tcW w:w="1951" w:type="dxa"/>
            <w:vMerge/>
            <w:vAlign w:val="center"/>
          </w:tcPr>
          <w:p w14:paraId="58692049"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5408809D"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矿山</w:t>
            </w:r>
            <w:r w:rsidRPr="0093704B">
              <w:rPr>
                <w:bCs/>
                <w:color w:val="000000"/>
                <w:kern w:val="0"/>
                <w:szCs w:val="21"/>
                <w:lang w:bidi="ar"/>
              </w:rPr>
              <w:t>/</w:t>
            </w:r>
            <w:r w:rsidRPr="0093704B">
              <w:rPr>
                <w:bCs/>
                <w:color w:val="000000"/>
                <w:kern w:val="0"/>
                <w:szCs w:val="21"/>
                <w:lang w:bidi="ar"/>
              </w:rPr>
              <w:t>废渣</w:t>
            </w:r>
          </w:p>
        </w:tc>
        <w:tc>
          <w:tcPr>
            <w:tcW w:w="2156" w:type="dxa"/>
            <w:vAlign w:val="center"/>
          </w:tcPr>
          <w:p w14:paraId="653AD6AF"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36712.0</w:t>
            </w:r>
          </w:p>
        </w:tc>
        <w:tc>
          <w:tcPr>
            <w:tcW w:w="2156" w:type="dxa"/>
            <w:vMerge/>
            <w:vAlign w:val="center"/>
          </w:tcPr>
          <w:p w14:paraId="1D4AD4A3"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42DBA1FB" w14:textId="77777777" w:rsidTr="0093704B">
        <w:tc>
          <w:tcPr>
            <w:tcW w:w="1951" w:type="dxa"/>
            <w:vMerge/>
            <w:vAlign w:val="center"/>
          </w:tcPr>
          <w:p w14:paraId="68180466"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7C6D9B63"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农用地</w:t>
            </w:r>
          </w:p>
        </w:tc>
        <w:tc>
          <w:tcPr>
            <w:tcW w:w="2156" w:type="dxa"/>
            <w:vAlign w:val="center"/>
          </w:tcPr>
          <w:p w14:paraId="13EF191B" w14:textId="77777777" w:rsidR="00637225" w:rsidRPr="0093704B" w:rsidRDefault="00286D31" w:rsidP="0093704B">
            <w:pPr>
              <w:widowControl/>
              <w:snapToGrid w:val="0"/>
              <w:spacing w:line="360" w:lineRule="auto"/>
              <w:jc w:val="center"/>
              <w:textAlignment w:val="center"/>
              <w:rPr>
                <w:bCs/>
                <w:kern w:val="21"/>
                <w:szCs w:val="21"/>
              </w:rPr>
            </w:pPr>
            <w:r w:rsidRPr="0093704B">
              <w:rPr>
                <w:bCs/>
                <w:color w:val="000000"/>
                <w:kern w:val="0"/>
                <w:szCs w:val="21"/>
                <w:lang w:bidi="ar"/>
              </w:rPr>
              <w:t>534.8</w:t>
            </w:r>
          </w:p>
        </w:tc>
        <w:tc>
          <w:tcPr>
            <w:tcW w:w="2156" w:type="dxa"/>
            <w:vMerge/>
            <w:vAlign w:val="center"/>
          </w:tcPr>
          <w:p w14:paraId="56A2E943"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02D43EA0" w14:textId="77777777" w:rsidTr="0093704B">
        <w:tc>
          <w:tcPr>
            <w:tcW w:w="1951" w:type="dxa"/>
            <w:vMerge w:val="restart"/>
            <w:vAlign w:val="center"/>
          </w:tcPr>
          <w:p w14:paraId="7EE1F093"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泰州</w:t>
            </w:r>
          </w:p>
        </w:tc>
        <w:tc>
          <w:tcPr>
            <w:tcW w:w="2359" w:type="dxa"/>
            <w:vAlign w:val="center"/>
          </w:tcPr>
          <w:p w14:paraId="3CD721CD"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24388C9E"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14383.2</w:t>
            </w:r>
          </w:p>
        </w:tc>
        <w:tc>
          <w:tcPr>
            <w:tcW w:w="2156" w:type="dxa"/>
            <w:vMerge w:val="restart"/>
            <w:vAlign w:val="center"/>
          </w:tcPr>
          <w:p w14:paraId="28774664"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34251.4</w:t>
            </w:r>
          </w:p>
        </w:tc>
      </w:tr>
      <w:tr w:rsidR="00637225" w:rsidRPr="0093704B" w14:paraId="6F0A4A2B" w14:textId="77777777" w:rsidTr="0093704B">
        <w:tc>
          <w:tcPr>
            <w:tcW w:w="1951" w:type="dxa"/>
            <w:vMerge/>
            <w:vAlign w:val="center"/>
          </w:tcPr>
          <w:p w14:paraId="237340DD"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178C35BB"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矿山</w:t>
            </w:r>
            <w:r w:rsidRPr="0093704B">
              <w:rPr>
                <w:bCs/>
                <w:color w:val="000000"/>
                <w:kern w:val="0"/>
                <w:szCs w:val="21"/>
                <w:lang w:bidi="ar"/>
              </w:rPr>
              <w:t>/</w:t>
            </w:r>
            <w:r w:rsidRPr="0093704B">
              <w:rPr>
                <w:bCs/>
                <w:color w:val="000000"/>
                <w:kern w:val="0"/>
                <w:szCs w:val="21"/>
                <w:lang w:bidi="ar"/>
              </w:rPr>
              <w:t>废渣</w:t>
            </w:r>
          </w:p>
        </w:tc>
        <w:tc>
          <w:tcPr>
            <w:tcW w:w="2156" w:type="dxa"/>
            <w:vAlign w:val="center"/>
          </w:tcPr>
          <w:p w14:paraId="78F6106F"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8008.1</w:t>
            </w:r>
          </w:p>
        </w:tc>
        <w:tc>
          <w:tcPr>
            <w:tcW w:w="2156" w:type="dxa"/>
            <w:vMerge/>
            <w:vAlign w:val="center"/>
          </w:tcPr>
          <w:p w14:paraId="12E179CC"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5CC3C0DB" w14:textId="77777777" w:rsidTr="0093704B">
        <w:tc>
          <w:tcPr>
            <w:tcW w:w="1951" w:type="dxa"/>
            <w:vMerge/>
            <w:vAlign w:val="center"/>
          </w:tcPr>
          <w:p w14:paraId="78CC4343"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4F3D540E"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填埋场</w:t>
            </w:r>
          </w:p>
        </w:tc>
        <w:tc>
          <w:tcPr>
            <w:tcW w:w="2156" w:type="dxa"/>
            <w:vAlign w:val="center"/>
          </w:tcPr>
          <w:p w14:paraId="7ECE7A85"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11860.0</w:t>
            </w:r>
          </w:p>
        </w:tc>
        <w:tc>
          <w:tcPr>
            <w:tcW w:w="2156" w:type="dxa"/>
            <w:vMerge/>
            <w:vAlign w:val="center"/>
          </w:tcPr>
          <w:p w14:paraId="523F2D90"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06D0040C" w14:textId="77777777" w:rsidTr="0093704B">
        <w:tc>
          <w:tcPr>
            <w:tcW w:w="1951" w:type="dxa"/>
            <w:vMerge w:val="restart"/>
            <w:vAlign w:val="center"/>
          </w:tcPr>
          <w:p w14:paraId="5CCA7FB4"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南京</w:t>
            </w:r>
          </w:p>
        </w:tc>
        <w:tc>
          <w:tcPr>
            <w:tcW w:w="2359" w:type="dxa"/>
            <w:vAlign w:val="center"/>
          </w:tcPr>
          <w:p w14:paraId="5F91F6AD"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7DB14653"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20049.8</w:t>
            </w:r>
          </w:p>
        </w:tc>
        <w:tc>
          <w:tcPr>
            <w:tcW w:w="2156" w:type="dxa"/>
            <w:vMerge w:val="restart"/>
            <w:vAlign w:val="center"/>
          </w:tcPr>
          <w:p w14:paraId="14E3EB8C"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30127.0</w:t>
            </w:r>
          </w:p>
        </w:tc>
      </w:tr>
      <w:tr w:rsidR="00637225" w:rsidRPr="0093704B" w14:paraId="38F584E7" w14:textId="77777777" w:rsidTr="0093704B">
        <w:tc>
          <w:tcPr>
            <w:tcW w:w="1951" w:type="dxa"/>
            <w:vMerge/>
            <w:vAlign w:val="center"/>
          </w:tcPr>
          <w:p w14:paraId="7537FDF3"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001638F6"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农用地</w:t>
            </w:r>
          </w:p>
        </w:tc>
        <w:tc>
          <w:tcPr>
            <w:tcW w:w="2156" w:type="dxa"/>
            <w:vAlign w:val="center"/>
          </w:tcPr>
          <w:p w14:paraId="6F93D536"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430.0</w:t>
            </w:r>
          </w:p>
        </w:tc>
        <w:tc>
          <w:tcPr>
            <w:tcW w:w="2156" w:type="dxa"/>
            <w:vMerge/>
            <w:vAlign w:val="center"/>
          </w:tcPr>
          <w:p w14:paraId="15675A07"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61620C0E" w14:textId="77777777" w:rsidTr="0093704B">
        <w:tc>
          <w:tcPr>
            <w:tcW w:w="1951" w:type="dxa"/>
            <w:vMerge/>
            <w:vAlign w:val="center"/>
          </w:tcPr>
          <w:p w14:paraId="3DF85AE6"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7BC4003E"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填埋场修复</w:t>
            </w:r>
          </w:p>
        </w:tc>
        <w:tc>
          <w:tcPr>
            <w:tcW w:w="2156" w:type="dxa"/>
            <w:vAlign w:val="center"/>
          </w:tcPr>
          <w:p w14:paraId="294A50CC"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9647.2</w:t>
            </w:r>
          </w:p>
        </w:tc>
        <w:tc>
          <w:tcPr>
            <w:tcW w:w="2156" w:type="dxa"/>
            <w:vMerge/>
            <w:vAlign w:val="center"/>
          </w:tcPr>
          <w:p w14:paraId="230A68C5"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11104B4F" w14:textId="77777777" w:rsidTr="0093704B">
        <w:tc>
          <w:tcPr>
            <w:tcW w:w="1951" w:type="dxa"/>
            <w:vMerge w:val="restart"/>
            <w:vAlign w:val="center"/>
          </w:tcPr>
          <w:p w14:paraId="097561A9" w14:textId="77777777" w:rsidR="00637225" w:rsidRPr="0093704B" w:rsidRDefault="00286D31" w:rsidP="0093704B">
            <w:pPr>
              <w:widowControl/>
              <w:snapToGrid w:val="0"/>
              <w:spacing w:line="360" w:lineRule="auto"/>
              <w:jc w:val="center"/>
              <w:textAlignment w:val="center"/>
              <w:rPr>
                <w:b/>
                <w:color w:val="000000"/>
                <w:kern w:val="0"/>
                <w:szCs w:val="21"/>
              </w:rPr>
            </w:pPr>
            <w:r w:rsidRPr="0093704B">
              <w:rPr>
                <w:b/>
                <w:color w:val="000000"/>
                <w:kern w:val="0"/>
                <w:szCs w:val="21"/>
                <w:lang w:bidi="ar"/>
              </w:rPr>
              <w:t>常州</w:t>
            </w:r>
          </w:p>
        </w:tc>
        <w:tc>
          <w:tcPr>
            <w:tcW w:w="2359" w:type="dxa"/>
            <w:vAlign w:val="center"/>
          </w:tcPr>
          <w:p w14:paraId="77304B6F"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风险管控</w:t>
            </w:r>
          </w:p>
        </w:tc>
        <w:tc>
          <w:tcPr>
            <w:tcW w:w="2156" w:type="dxa"/>
            <w:vAlign w:val="center"/>
          </w:tcPr>
          <w:p w14:paraId="12CAE6A0"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620.1</w:t>
            </w:r>
          </w:p>
        </w:tc>
        <w:tc>
          <w:tcPr>
            <w:tcW w:w="2156" w:type="dxa"/>
            <w:vMerge w:val="restart"/>
            <w:vAlign w:val="center"/>
          </w:tcPr>
          <w:p w14:paraId="0CFE4100"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25525.8</w:t>
            </w:r>
          </w:p>
        </w:tc>
      </w:tr>
      <w:tr w:rsidR="00637225" w:rsidRPr="0093704B" w14:paraId="4DEEE547" w14:textId="77777777" w:rsidTr="0093704B">
        <w:tc>
          <w:tcPr>
            <w:tcW w:w="1951" w:type="dxa"/>
            <w:vMerge/>
            <w:vAlign w:val="center"/>
          </w:tcPr>
          <w:p w14:paraId="3925D2EB"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p>
        </w:tc>
        <w:tc>
          <w:tcPr>
            <w:tcW w:w="2359" w:type="dxa"/>
            <w:vAlign w:val="center"/>
          </w:tcPr>
          <w:p w14:paraId="7B194434"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135A7FFF"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24905.6</w:t>
            </w:r>
          </w:p>
        </w:tc>
        <w:tc>
          <w:tcPr>
            <w:tcW w:w="2156" w:type="dxa"/>
            <w:vMerge/>
            <w:vAlign w:val="center"/>
          </w:tcPr>
          <w:p w14:paraId="11ED0BEB"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4165DD9B" w14:textId="77777777" w:rsidTr="0093704B">
        <w:tc>
          <w:tcPr>
            <w:tcW w:w="1951" w:type="dxa"/>
            <w:vMerge w:val="restart"/>
            <w:vAlign w:val="center"/>
          </w:tcPr>
          <w:p w14:paraId="60DEA364" w14:textId="77777777" w:rsidR="00637225" w:rsidRPr="0093704B" w:rsidRDefault="00286D31" w:rsidP="0093704B">
            <w:pPr>
              <w:widowControl/>
              <w:snapToGrid w:val="0"/>
              <w:spacing w:line="360" w:lineRule="auto"/>
              <w:jc w:val="center"/>
              <w:textAlignment w:val="center"/>
              <w:rPr>
                <w:b/>
                <w:color w:val="000000"/>
                <w:kern w:val="0"/>
                <w:szCs w:val="21"/>
              </w:rPr>
            </w:pPr>
            <w:r w:rsidRPr="0093704B">
              <w:rPr>
                <w:b/>
                <w:color w:val="000000"/>
                <w:kern w:val="0"/>
                <w:szCs w:val="21"/>
                <w:lang w:bidi="ar"/>
              </w:rPr>
              <w:t>广州</w:t>
            </w:r>
          </w:p>
        </w:tc>
        <w:tc>
          <w:tcPr>
            <w:tcW w:w="2359" w:type="dxa"/>
            <w:vAlign w:val="center"/>
          </w:tcPr>
          <w:p w14:paraId="582F21EC"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23353879"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21500.2</w:t>
            </w:r>
          </w:p>
        </w:tc>
        <w:tc>
          <w:tcPr>
            <w:tcW w:w="2156" w:type="dxa"/>
            <w:vMerge w:val="restart"/>
            <w:vAlign w:val="center"/>
          </w:tcPr>
          <w:p w14:paraId="4BC43659" w14:textId="77777777" w:rsidR="00637225" w:rsidRPr="0093704B" w:rsidRDefault="00286D31" w:rsidP="0093704B">
            <w:pPr>
              <w:widowControl/>
              <w:snapToGrid w:val="0"/>
              <w:spacing w:line="360" w:lineRule="auto"/>
              <w:jc w:val="center"/>
              <w:textAlignment w:val="center"/>
              <w:rPr>
                <w:bCs/>
                <w:color w:val="000000"/>
                <w:kern w:val="0"/>
                <w:szCs w:val="21"/>
              </w:rPr>
            </w:pPr>
            <w:r w:rsidRPr="0093704B">
              <w:rPr>
                <w:bCs/>
                <w:color w:val="000000"/>
                <w:kern w:val="0"/>
                <w:szCs w:val="21"/>
                <w:lang w:bidi="ar"/>
              </w:rPr>
              <w:t>21652.8</w:t>
            </w:r>
          </w:p>
        </w:tc>
      </w:tr>
      <w:tr w:rsidR="00637225" w:rsidRPr="0093704B" w14:paraId="2A7C645C" w14:textId="77777777" w:rsidTr="0093704B">
        <w:tc>
          <w:tcPr>
            <w:tcW w:w="1951" w:type="dxa"/>
            <w:vMerge/>
            <w:vAlign w:val="center"/>
          </w:tcPr>
          <w:p w14:paraId="7BF36503"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c>
          <w:tcPr>
            <w:tcW w:w="2359" w:type="dxa"/>
            <w:vAlign w:val="center"/>
          </w:tcPr>
          <w:p w14:paraId="43771EE6"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其他</w:t>
            </w:r>
          </w:p>
        </w:tc>
        <w:tc>
          <w:tcPr>
            <w:tcW w:w="2156" w:type="dxa"/>
            <w:vAlign w:val="center"/>
          </w:tcPr>
          <w:p w14:paraId="4BE92C4E"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152.6</w:t>
            </w:r>
          </w:p>
        </w:tc>
        <w:tc>
          <w:tcPr>
            <w:tcW w:w="2156" w:type="dxa"/>
            <w:vMerge/>
            <w:vAlign w:val="center"/>
          </w:tcPr>
          <w:p w14:paraId="4B558281" w14:textId="77777777" w:rsidR="00637225" w:rsidRPr="0093704B" w:rsidRDefault="00637225"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p>
        </w:tc>
      </w:tr>
      <w:tr w:rsidR="00637225" w:rsidRPr="0093704B" w14:paraId="08532743" w14:textId="77777777" w:rsidTr="0093704B">
        <w:trPr>
          <w:trHeight w:val="424"/>
        </w:trPr>
        <w:tc>
          <w:tcPr>
            <w:tcW w:w="1951" w:type="dxa"/>
            <w:vAlign w:val="center"/>
          </w:tcPr>
          <w:p w14:paraId="0122DA91"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中山</w:t>
            </w:r>
          </w:p>
        </w:tc>
        <w:tc>
          <w:tcPr>
            <w:tcW w:w="2359" w:type="dxa"/>
            <w:vAlign w:val="center"/>
          </w:tcPr>
          <w:p w14:paraId="3127A88B"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5979BB5B"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17631.9</w:t>
            </w:r>
          </w:p>
        </w:tc>
        <w:tc>
          <w:tcPr>
            <w:tcW w:w="2156" w:type="dxa"/>
            <w:vAlign w:val="center"/>
          </w:tcPr>
          <w:p w14:paraId="2E1575C1"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r w:rsidRPr="0093704B">
              <w:rPr>
                <w:rFonts w:ascii="Times New Roman" w:eastAsia="宋体" w:hAnsi="Times New Roman"/>
                <w:b w:val="0"/>
                <w:bCs/>
                <w:kern w:val="0"/>
                <w:sz w:val="21"/>
                <w:szCs w:val="21"/>
                <w:lang w:bidi="ar"/>
              </w:rPr>
              <w:t>17631.9</w:t>
            </w:r>
          </w:p>
        </w:tc>
      </w:tr>
      <w:tr w:rsidR="00637225" w:rsidRPr="0093704B" w14:paraId="23FC1B41" w14:textId="77777777" w:rsidTr="0093704B">
        <w:tc>
          <w:tcPr>
            <w:tcW w:w="1951" w:type="dxa"/>
            <w:vAlign w:val="center"/>
          </w:tcPr>
          <w:p w14:paraId="7915E704"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color w:val="auto"/>
                <w:spacing w:val="0"/>
                <w:kern w:val="21"/>
                <w:sz w:val="21"/>
                <w:szCs w:val="21"/>
              </w:rPr>
            </w:pPr>
            <w:r w:rsidRPr="0093704B">
              <w:rPr>
                <w:rFonts w:ascii="Times New Roman" w:eastAsia="宋体" w:hAnsi="Times New Roman"/>
                <w:color w:val="auto"/>
                <w:spacing w:val="0"/>
                <w:kern w:val="21"/>
                <w:sz w:val="21"/>
                <w:szCs w:val="21"/>
              </w:rPr>
              <w:t>宁波</w:t>
            </w:r>
          </w:p>
        </w:tc>
        <w:tc>
          <w:tcPr>
            <w:tcW w:w="2359" w:type="dxa"/>
            <w:vAlign w:val="center"/>
          </w:tcPr>
          <w:p w14:paraId="584C6EB3"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建设用地</w:t>
            </w:r>
          </w:p>
        </w:tc>
        <w:tc>
          <w:tcPr>
            <w:tcW w:w="2156" w:type="dxa"/>
            <w:vAlign w:val="center"/>
          </w:tcPr>
          <w:p w14:paraId="073FB8C0" w14:textId="77777777" w:rsidR="00637225" w:rsidRPr="0093704B" w:rsidRDefault="00286D31" w:rsidP="0093704B">
            <w:pPr>
              <w:widowControl/>
              <w:snapToGrid w:val="0"/>
              <w:spacing w:line="360" w:lineRule="auto"/>
              <w:jc w:val="center"/>
              <w:textAlignment w:val="center"/>
              <w:rPr>
                <w:bCs/>
                <w:color w:val="000000"/>
                <w:kern w:val="0"/>
                <w:szCs w:val="21"/>
                <w:lang w:bidi="ar"/>
              </w:rPr>
            </w:pPr>
            <w:r w:rsidRPr="0093704B">
              <w:rPr>
                <w:bCs/>
                <w:color w:val="000000"/>
                <w:kern w:val="0"/>
                <w:szCs w:val="21"/>
                <w:lang w:bidi="ar"/>
              </w:rPr>
              <w:t>17245.31</w:t>
            </w:r>
          </w:p>
        </w:tc>
        <w:tc>
          <w:tcPr>
            <w:tcW w:w="2156" w:type="dxa"/>
            <w:vAlign w:val="center"/>
          </w:tcPr>
          <w:p w14:paraId="329F4A8F" w14:textId="77777777" w:rsidR="00637225" w:rsidRPr="0093704B" w:rsidRDefault="00286D31" w:rsidP="0093704B">
            <w:pPr>
              <w:pStyle w:val="aa"/>
              <w:topLinePunct/>
              <w:snapToGrid w:val="0"/>
              <w:spacing w:before="0" w:after="0" w:line="360" w:lineRule="auto"/>
              <w:textAlignment w:val="auto"/>
              <w:rPr>
                <w:rFonts w:ascii="Times New Roman" w:eastAsia="宋体" w:hAnsi="Times New Roman"/>
                <w:b w:val="0"/>
                <w:bCs/>
                <w:color w:val="auto"/>
                <w:spacing w:val="0"/>
                <w:kern w:val="21"/>
                <w:sz w:val="21"/>
                <w:szCs w:val="21"/>
              </w:rPr>
            </w:pPr>
            <w:r w:rsidRPr="0093704B">
              <w:rPr>
                <w:rFonts w:ascii="Times New Roman" w:eastAsia="宋体" w:hAnsi="Times New Roman"/>
                <w:b w:val="0"/>
                <w:bCs/>
                <w:kern w:val="0"/>
                <w:sz w:val="21"/>
                <w:szCs w:val="21"/>
                <w:lang w:bidi="ar"/>
              </w:rPr>
              <w:t>17245.31</w:t>
            </w:r>
          </w:p>
        </w:tc>
      </w:tr>
    </w:tbl>
    <w:p w14:paraId="19AE5526" w14:textId="25624560"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从项目数量来看，2</w:t>
      </w:r>
      <w:r>
        <w:rPr>
          <w:rFonts w:asciiTheme="minorEastAsia" w:eastAsiaTheme="minorEastAsia" w:hAnsiTheme="minorEastAsia"/>
          <w:sz w:val="24"/>
        </w:rPr>
        <w:t>02</w:t>
      </w:r>
      <w:r>
        <w:rPr>
          <w:rFonts w:asciiTheme="minorEastAsia" w:eastAsiaTheme="minorEastAsia" w:hAnsiTheme="minorEastAsia" w:hint="eastAsia"/>
          <w:sz w:val="24"/>
        </w:rPr>
        <w:t>1年全国修复工程项目数量排名在前10位的城市分别是杭州（16个）、常德、东营、广州、南京、广元、合肥，以及衡阳、泰州和武汉（三个城市均为7个）。不同城市之间的差异较大。</w:t>
      </w:r>
    </w:p>
    <w:p w14:paraId="50053FB0" w14:textId="77777777" w:rsidR="00637225" w:rsidRDefault="0089548E" w:rsidP="006013E0">
      <w:pPr>
        <w:pStyle w:val="aa"/>
        <w:topLinePunct/>
        <w:snapToGrid w:val="0"/>
        <w:spacing w:before="0" w:after="0" w:line="360" w:lineRule="auto"/>
        <w:textAlignment w:val="auto"/>
        <w:rPr>
          <w:rFonts w:asciiTheme="minorEastAsia" w:eastAsiaTheme="minorEastAsia" w:hAnsiTheme="minorEastAsia" w:cstheme="majorBidi"/>
          <w:color w:val="auto"/>
          <w:spacing w:val="0"/>
          <w:kern w:val="21"/>
          <w:sz w:val="21"/>
          <w:szCs w:val="21"/>
        </w:rPr>
      </w:pPr>
      <w:r>
        <w:rPr>
          <w:noProof/>
        </w:rPr>
        <w:drawing>
          <wp:inline distT="0" distB="0" distL="0" distR="0" wp14:anchorId="32BA7777" wp14:editId="57C540FB">
            <wp:extent cx="4664710" cy="2656432"/>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76069" cy="2662901"/>
                    </a:xfrm>
                    <a:prstGeom prst="rect">
                      <a:avLst/>
                    </a:prstGeom>
                  </pic:spPr>
                </pic:pic>
              </a:graphicData>
            </a:graphic>
          </wp:inline>
        </w:drawing>
      </w:r>
    </w:p>
    <w:p w14:paraId="74691535"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图3-5  2021年修复工程项目数量排全国前10位的城市名单及项目数量</w:t>
      </w:r>
    </w:p>
    <w:p w14:paraId="7E5F7D06"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bookmarkStart w:id="18" w:name="_Toc82614266"/>
      <w:bookmarkStart w:id="19" w:name="_Toc64574178"/>
      <w:bookmarkStart w:id="20" w:name="_Toc84571972"/>
      <w:r w:rsidRPr="002249DB">
        <w:rPr>
          <w:rFonts w:eastAsia="黑体" w:hint="eastAsia"/>
          <w:color w:val="000000" w:themeColor="text1"/>
        </w:rPr>
        <w:t>3.3</w:t>
      </w:r>
      <w:r w:rsidRPr="002249DB">
        <w:rPr>
          <w:rFonts w:eastAsia="黑体" w:hint="eastAsia"/>
          <w:color w:val="000000" w:themeColor="text1"/>
        </w:rPr>
        <w:t>主要从业单位分析</w:t>
      </w:r>
      <w:bookmarkEnd w:id="18"/>
      <w:bookmarkEnd w:id="19"/>
      <w:bookmarkEnd w:id="20"/>
    </w:p>
    <w:p w14:paraId="304C493D" w14:textId="7777777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2021年全国启动的503个修复工程项目由379家单位承担，但中标项目金额排名前10位的修复工程从业机构市场份额总和占全国总金额的半壁江山（55.3%），见表3-3。这反映出我国土壤修复行业从业单位较多，但市场集聚度较为明显。</w:t>
      </w:r>
      <w:proofErr w:type="gramStart"/>
      <w:r>
        <w:rPr>
          <w:rFonts w:asciiTheme="minorEastAsia" w:eastAsiaTheme="minorEastAsia" w:hAnsiTheme="minorEastAsia" w:hint="eastAsia"/>
          <w:sz w:val="24"/>
        </w:rPr>
        <w:t>中冶南方</w:t>
      </w:r>
      <w:proofErr w:type="gramEnd"/>
      <w:r>
        <w:rPr>
          <w:rFonts w:asciiTheme="minorEastAsia" w:eastAsiaTheme="minorEastAsia" w:hAnsiTheme="minorEastAsia" w:hint="eastAsia"/>
          <w:sz w:val="24"/>
        </w:rPr>
        <w:t>都市环保工程技术股份有限公司、北京建工环境修复股份有限公司、江苏</w:t>
      </w:r>
      <w:proofErr w:type="gramStart"/>
      <w:r>
        <w:rPr>
          <w:rFonts w:asciiTheme="minorEastAsia" w:eastAsiaTheme="minorEastAsia" w:hAnsiTheme="minorEastAsia" w:hint="eastAsia"/>
          <w:sz w:val="24"/>
        </w:rPr>
        <w:t>大地益源环境</w:t>
      </w:r>
      <w:proofErr w:type="gramEnd"/>
      <w:r>
        <w:rPr>
          <w:rFonts w:asciiTheme="minorEastAsia" w:eastAsiaTheme="minorEastAsia" w:hAnsiTheme="minorEastAsia" w:hint="eastAsia"/>
          <w:sz w:val="24"/>
        </w:rPr>
        <w:t>修复有限公司、北京高能时代环境技术股份有限公司、森特士兴集团股份有限公司、中节能大地（杭州）环境修复有限公司、湖南省和清环境科技有限公司等7家公司承接的修复工程金额均在5亿元以上，是我国土壤修复工</w:t>
      </w:r>
      <w:r>
        <w:rPr>
          <w:rFonts w:asciiTheme="minorEastAsia" w:eastAsiaTheme="minorEastAsia" w:hAnsiTheme="minorEastAsia" w:hint="eastAsia"/>
          <w:sz w:val="24"/>
        </w:rPr>
        <w:lastRenderedPageBreak/>
        <w:t>程中的重点从业单位，其他数量较多的修复工程从业机构承接的工程金额总体较小（普遍小于3000万元）</w:t>
      </w:r>
    </w:p>
    <w:p w14:paraId="79A27EF3"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表3-3  2021年修复工程项目金额排名前10位的工程单位名称及基本信息</w:t>
      </w:r>
    </w:p>
    <w:tbl>
      <w:tblPr>
        <w:tblStyle w:val="ac"/>
        <w:tblW w:w="5000" w:type="pct"/>
        <w:tblLayout w:type="fixed"/>
        <w:tblLook w:val="04A0" w:firstRow="1" w:lastRow="0" w:firstColumn="1" w:lastColumn="0" w:noHBand="0" w:noVBand="1"/>
      </w:tblPr>
      <w:tblGrid>
        <w:gridCol w:w="546"/>
        <w:gridCol w:w="4440"/>
        <w:gridCol w:w="1380"/>
        <w:gridCol w:w="1202"/>
        <w:gridCol w:w="1054"/>
      </w:tblGrid>
      <w:tr w:rsidR="00637225" w14:paraId="767AFE8B" w14:textId="77777777">
        <w:trPr>
          <w:trHeight w:val="284"/>
          <w:tblHeader/>
        </w:trPr>
        <w:tc>
          <w:tcPr>
            <w:tcW w:w="317" w:type="pct"/>
            <w:noWrap/>
            <w:vAlign w:val="center"/>
          </w:tcPr>
          <w:p w14:paraId="69ED2FA7"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序号</w:t>
            </w:r>
          </w:p>
        </w:tc>
        <w:tc>
          <w:tcPr>
            <w:tcW w:w="2574" w:type="pct"/>
            <w:noWrap/>
            <w:vAlign w:val="center"/>
          </w:tcPr>
          <w:p w14:paraId="4B4A11C7"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公司名称</w:t>
            </w:r>
          </w:p>
        </w:tc>
        <w:tc>
          <w:tcPr>
            <w:tcW w:w="800" w:type="pct"/>
            <w:noWrap/>
            <w:vAlign w:val="center"/>
          </w:tcPr>
          <w:p w14:paraId="7398DFA6"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金额/</w:t>
            </w:r>
          </w:p>
          <w:p w14:paraId="4AC8D3C6"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亿元</w:t>
            </w:r>
          </w:p>
        </w:tc>
        <w:tc>
          <w:tcPr>
            <w:tcW w:w="697" w:type="pct"/>
            <w:noWrap/>
            <w:vAlign w:val="center"/>
          </w:tcPr>
          <w:p w14:paraId="15711F22"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项目数量/</w:t>
            </w:r>
          </w:p>
          <w:p w14:paraId="2FC42AC7"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proofErr w:type="gramStart"/>
            <w:r>
              <w:rPr>
                <w:rFonts w:asciiTheme="minorEastAsia" w:eastAsiaTheme="minorEastAsia" w:hAnsiTheme="minorEastAsia" w:cs="宋体" w:hint="eastAsia"/>
                <w:b/>
                <w:kern w:val="0"/>
                <w:szCs w:val="21"/>
              </w:rPr>
              <w:t>个</w:t>
            </w:r>
            <w:proofErr w:type="gramEnd"/>
          </w:p>
        </w:tc>
        <w:tc>
          <w:tcPr>
            <w:tcW w:w="611" w:type="pct"/>
            <w:noWrap/>
            <w:vAlign w:val="center"/>
          </w:tcPr>
          <w:p w14:paraId="13A9DC74"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市场份额/%</w:t>
            </w:r>
          </w:p>
        </w:tc>
      </w:tr>
      <w:tr w:rsidR="00637225" w14:paraId="3E8D8195" w14:textId="77777777">
        <w:trPr>
          <w:trHeight w:val="284"/>
        </w:trPr>
        <w:tc>
          <w:tcPr>
            <w:tcW w:w="317" w:type="pct"/>
            <w:noWrap/>
          </w:tcPr>
          <w:p w14:paraId="6784015F"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1</w:t>
            </w:r>
          </w:p>
        </w:tc>
        <w:tc>
          <w:tcPr>
            <w:tcW w:w="4389" w:type="dxa"/>
            <w:noWrap/>
            <w:vAlign w:val="center"/>
          </w:tcPr>
          <w:p w14:paraId="4E35827C"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proofErr w:type="gramStart"/>
            <w:r>
              <w:rPr>
                <w:rFonts w:ascii="宋体" w:hAnsi="宋体" w:cs="宋体" w:hint="eastAsia"/>
                <w:kern w:val="0"/>
                <w:szCs w:val="21"/>
                <w:lang w:bidi="ar"/>
              </w:rPr>
              <w:t>中冶南方</w:t>
            </w:r>
            <w:proofErr w:type="gramEnd"/>
            <w:r>
              <w:rPr>
                <w:rFonts w:ascii="宋体" w:hAnsi="宋体" w:cs="宋体" w:hint="eastAsia"/>
                <w:kern w:val="0"/>
                <w:szCs w:val="21"/>
                <w:lang w:bidi="ar"/>
              </w:rPr>
              <w:t>都市环保工程技术股份有限公司</w:t>
            </w:r>
          </w:p>
        </w:tc>
        <w:tc>
          <w:tcPr>
            <w:tcW w:w="1364" w:type="dxa"/>
            <w:noWrap/>
            <w:vAlign w:val="center"/>
          </w:tcPr>
          <w:p w14:paraId="75DBBB3E"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11.20</w:t>
            </w:r>
          </w:p>
        </w:tc>
        <w:tc>
          <w:tcPr>
            <w:tcW w:w="1188" w:type="dxa"/>
            <w:noWrap/>
            <w:vAlign w:val="center"/>
          </w:tcPr>
          <w:p w14:paraId="09AB1E75"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10</w:t>
            </w:r>
          </w:p>
        </w:tc>
        <w:tc>
          <w:tcPr>
            <w:tcW w:w="1041" w:type="dxa"/>
            <w:noWrap/>
            <w:vAlign w:val="center"/>
          </w:tcPr>
          <w:p w14:paraId="04BC1565"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9.2</w:t>
            </w:r>
          </w:p>
        </w:tc>
      </w:tr>
      <w:tr w:rsidR="00637225" w14:paraId="3A11F0EA" w14:textId="77777777">
        <w:trPr>
          <w:trHeight w:val="284"/>
        </w:trPr>
        <w:tc>
          <w:tcPr>
            <w:tcW w:w="317" w:type="pct"/>
            <w:noWrap/>
          </w:tcPr>
          <w:p w14:paraId="55B10C51"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2</w:t>
            </w:r>
          </w:p>
        </w:tc>
        <w:tc>
          <w:tcPr>
            <w:tcW w:w="4389" w:type="dxa"/>
            <w:noWrap/>
            <w:vAlign w:val="center"/>
          </w:tcPr>
          <w:p w14:paraId="04325B71"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北京建工环境修复股份有限公司</w:t>
            </w:r>
          </w:p>
        </w:tc>
        <w:tc>
          <w:tcPr>
            <w:tcW w:w="1364" w:type="dxa"/>
            <w:noWrap/>
            <w:vAlign w:val="center"/>
          </w:tcPr>
          <w:p w14:paraId="1AEAB3A1"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10.05</w:t>
            </w:r>
          </w:p>
        </w:tc>
        <w:tc>
          <w:tcPr>
            <w:tcW w:w="1188" w:type="dxa"/>
            <w:noWrap/>
            <w:vAlign w:val="center"/>
          </w:tcPr>
          <w:p w14:paraId="38F9D618"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6</w:t>
            </w:r>
          </w:p>
        </w:tc>
        <w:tc>
          <w:tcPr>
            <w:tcW w:w="1041" w:type="dxa"/>
            <w:noWrap/>
            <w:vAlign w:val="center"/>
          </w:tcPr>
          <w:p w14:paraId="63972FCF"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8.3</w:t>
            </w:r>
          </w:p>
        </w:tc>
      </w:tr>
      <w:tr w:rsidR="00637225" w14:paraId="5B7CF2CB" w14:textId="77777777">
        <w:trPr>
          <w:trHeight w:val="284"/>
        </w:trPr>
        <w:tc>
          <w:tcPr>
            <w:tcW w:w="317" w:type="pct"/>
            <w:noWrap/>
          </w:tcPr>
          <w:p w14:paraId="5D541D3E"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3</w:t>
            </w:r>
          </w:p>
        </w:tc>
        <w:tc>
          <w:tcPr>
            <w:tcW w:w="4389" w:type="dxa"/>
            <w:noWrap/>
            <w:vAlign w:val="center"/>
          </w:tcPr>
          <w:p w14:paraId="7EF2C45D"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江苏</w:t>
            </w:r>
            <w:proofErr w:type="gramStart"/>
            <w:r>
              <w:rPr>
                <w:rFonts w:ascii="宋体" w:hAnsi="宋体" w:cs="宋体" w:hint="eastAsia"/>
                <w:kern w:val="0"/>
                <w:szCs w:val="21"/>
                <w:lang w:bidi="ar"/>
              </w:rPr>
              <w:t>大地益源环境</w:t>
            </w:r>
            <w:proofErr w:type="gramEnd"/>
            <w:r>
              <w:rPr>
                <w:rFonts w:ascii="宋体" w:hAnsi="宋体" w:cs="宋体" w:hint="eastAsia"/>
                <w:kern w:val="0"/>
                <w:szCs w:val="21"/>
                <w:lang w:bidi="ar"/>
              </w:rPr>
              <w:t>修复有限公司</w:t>
            </w:r>
          </w:p>
        </w:tc>
        <w:tc>
          <w:tcPr>
            <w:tcW w:w="1364" w:type="dxa"/>
            <w:noWrap/>
            <w:vAlign w:val="center"/>
          </w:tcPr>
          <w:p w14:paraId="426412C1"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9.47</w:t>
            </w:r>
          </w:p>
        </w:tc>
        <w:tc>
          <w:tcPr>
            <w:tcW w:w="1188" w:type="dxa"/>
            <w:noWrap/>
            <w:vAlign w:val="center"/>
          </w:tcPr>
          <w:p w14:paraId="14305068"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14</w:t>
            </w:r>
          </w:p>
        </w:tc>
        <w:tc>
          <w:tcPr>
            <w:tcW w:w="1041" w:type="dxa"/>
            <w:noWrap/>
            <w:vAlign w:val="center"/>
          </w:tcPr>
          <w:p w14:paraId="1C89548A"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7.8</w:t>
            </w:r>
          </w:p>
        </w:tc>
      </w:tr>
      <w:tr w:rsidR="00637225" w14:paraId="4DE44FAA" w14:textId="77777777">
        <w:trPr>
          <w:trHeight w:val="284"/>
        </w:trPr>
        <w:tc>
          <w:tcPr>
            <w:tcW w:w="317" w:type="pct"/>
            <w:noWrap/>
          </w:tcPr>
          <w:p w14:paraId="637B4C95"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4</w:t>
            </w:r>
          </w:p>
        </w:tc>
        <w:tc>
          <w:tcPr>
            <w:tcW w:w="4389" w:type="dxa"/>
            <w:noWrap/>
            <w:vAlign w:val="center"/>
          </w:tcPr>
          <w:p w14:paraId="0C35CD1E"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北京高能时代环境技术股份有限公司</w:t>
            </w:r>
          </w:p>
        </w:tc>
        <w:tc>
          <w:tcPr>
            <w:tcW w:w="1364" w:type="dxa"/>
            <w:noWrap/>
            <w:vAlign w:val="center"/>
          </w:tcPr>
          <w:p w14:paraId="070ABB56"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9.19</w:t>
            </w:r>
          </w:p>
        </w:tc>
        <w:tc>
          <w:tcPr>
            <w:tcW w:w="1188" w:type="dxa"/>
            <w:noWrap/>
            <w:vAlign w:val="center"/>
          </w:tcPr>
          <w:p w14:paraId="41C19800"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15</w:t>
            </w:r>
          </w:p>
        </w:tc>
        <w:tc>
          <w:tcPr>
            <w:tcW w:w="1041" w:type="dxa"/>
            <w:noWrap/>
            <w:vAlign w:val="center"/>
          </w:tcPr>
          <w:p w14:paraId="3AF115F6"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7.6</w:t>
            </w:r>
          </w:p>
        </w:tc>
      </w:tr>
      <w:tr w:rsidR="00637225" w14:paraId="0F1903B0" w14:textId="77777777">
        <w:trPr>
          <w:trHeight w:val="284"/>
        </w:trPr>
        <w:tc>
          <w:tcPr>
            <w:tcW w:w="317" w:type="pct"/>
            <w:noWrap/>
          </w:tcPr>
          <w:p w14:paraId="4AD109AB"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5</w:t>
            </w:r>
          </w:p>
        </w:tc>
        <w:tc>
          <w:tcPr>
            <w:tcW w:w="4389" w:type="dxa"/>
            <w:noWrap/>
            <w:vAlign w:val="center"/>
          </w:tcPr>
          <w:p w14:paraId="506CC7F3"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森特士兴集团股份有限公司</w:t>
            </w:r>
          </w:p>
        </w:tc>
        <w:tc>
          <w:tcPr>
            <w:tcW w:w="1364" w:type="dxa"/>
            <w:noWrap/>
            <w:vAlign w:val="center"/>
          </w:tcPr>
          <w:p w14:paraId="783FA584"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7.47</w:t>
            </w:r>
          </w:p>
        </w:tc>
        <w:tc>
          <w:tcPr>
            <w:tcW w:w="1188" w:type="dxa"/>
            <w:noWrap/>
            <w:vAlign w:val="center"/>
          </w:tcPr>
          <w:p w14:paraId="3CBDBCE7"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4</w:t>
            </w:r>
          </w:p>
        </w:tc>
        <w:tc>
          <w:tcPr>
            <w:tcW w:w="1041" w:type="dxa"/>
            <w:noWrap/>
            <w:vAlign w:val="center"/>
          </w:tcPr>
          <w:p w14:paraId="5604BED0"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6.1</w:t>
            </w:r>
          </w:p>
        </w:tc>
      </w:tr>
      <w:tr w:rsidR="00637225" w14:paraId="79B28564" w14:textId="77777777">
        <w:trPr>
          <w:trHeight w:val="284"/>
        </w:trPr>
        <w:tc>
          <w:tcPr>
            <w:tcW w:w="317" w:type="pct"/>
            <w:noWrap/>
          </w:tcPr>
          <w:p w14:paraId="4DAF2D69"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6</w:t>
            </w:r>
          </w:p>
        </w:tc>
        <w:tc>
          <w:tcPr>
            <w:tcW w:w="4389" w:type="dxa"/>
            <w:noWrap/>
            <w:vAlign w:val="center"/>
          </w:tcPr>
          <w:p w14:paraId="546DF101"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中节能大地（杭州）环境修复有限公司</w:t>
            </w:r>
          </w:p>
        </w:tc>
        <w:tc>
          <w:tcPr>
            <w:tcW w:w="1364" w:type="dxa"/>
            <w:noWrap/>
            <w:vAlign w:val="center"/>
          </w:tcPr>
          <w:p w14:paraId="18C3A7BB"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5.64</w:t>
            </w:r>
          </w:p>
        </w:tc>
        <w:tc>
          <w:tcPr>
            <w:tcW w:w="1188" w:type="dxa"/>
            <w:noWrap/>
            <w:vAlign w:val="center"/>
          </w:tcPr>
          <w:p w14:paraId="250667C8"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5</w:t>
            </w:r>
          </w:p>
        </w:tc>
        <w:tc>
          <w:tcPr>
            <w:tcW w:w="1041" w:type="dxa"/>
            <w:noWrap/>
            <w:vAlign w:val="center"/>
          </w:tcPr>
          <w:p w14:paraId="01C83C00"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4.6</w:t>
            </w:r>
          </w:p>
        </w:tc>
      </w:tr>
      <w:tr w:rsidR="00637225" w14:paraId="76830D83" w14:textId="77777777">
        <w:trPr>
          <w:trHeight w:val="284"/>
        </w:trPr>
        <w:tc>
          <w:tcPr>
            <w:tcW w:w="317" w:type="pct"/>
            <w:noWrap/>
          </w:tcPr>
          <w:p w14:paraId="50B452C7"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7</w:t>
            </w:r>
          </w:p>
        </w:tc>
        <w:tc>
          <w:tcPr>
            <w:tcW w:w="4389" w:type="dxa"/>
            <w:noWrap/>
            <w:vAlign w:val="center"/>
          </w:tcPr>
          <w:p w14:paraId="30D87A08"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湖南省和清环境科技有限公司</w:t>
            </w:r>
          </w:p>
        </w:tc>
        <w:tc>
          <w:tcPr>
            <w:tcW w:w="1364" w:type="dxa"/>
            <w:noWrap/>
            <w:vAlign w:val="center"/>
          </w:tcPr>
          <w:p w14:paraId="7BCE414C"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5.54</w:t>
            </w:r>
          </w:p>
        </w:tc>
        <w:tc>
          <w:tcPr>
            <w:tcW w:w="1188" w:type="dxa"/>
            <w:noWrap/>
            <w:vAlign w:val="center"/>
          </w:tcPr>
          <w:p w14:paraId="32ABE9E3"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7</w:t>
            </w:r>
          </w:p>
        </w:tc>
        <w:tc>
          <w:tcPr>
            <w:tcW w:w="1041" w:type="dxa"/>
            <w:noWrap/>
            <w:vAlign w:val="center"/>
          </w:tcPr>
          <w:p w14:paraId="083864E3"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4.6</w:t>
            </w:r>
          </w:p>
        </w:tc>
      </w:tr>
      <w:tr w:rsidR="00637225" w14:paraId="17DF7D44" w14:textId="77777777">
        <w:trPr>
          <w:trHeight w:val="284"/>
        </w:trPr>
        <w:tc>
          <w:tcPr>
            <w:tcW w:w="317" w:type="pct"/>
            <w:noWrap/>
          </w:tcPr>
          <w:p w14:paraId="1CAA4B82"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8</w:t>
            </w:r>
          </w:p>
        </w:tc>
        <w:tc>
          <w:tcPr>
            <w:tcW w:w="4389" w:type="dxa"/>
            <w:noWrap/>
            <w:vAlign w:val="center"/>
          </w:tcPr>
          <w:p w14:paraId="4C1F89E0"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青岛凯利华工程有限公司联合体</w:t>
            </w:r>
          </w:p>
        </w:tc>
        <w:tc>
          <w:tcPr>
            <w:tcW w:w="1364" w:type="dxa"/>
            <w:noWrap/>
            <w:vAlign w:val="center"/>
          </w:tcPr>
          <w:p w14:paraId="70F9336F"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3.28</w:t>
            </w:r>
          </w:p>
        </w:tc>
        <w:tc>
          <w:tcPr>
            <w:tcW w:w="1188" w:type="dxa"/>
            <w:noWrap/>
            <w:vAlign w:val="center"/>
          </w:tcPr>
          <w:p w14:paraId="23371A18"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2</w:t>
            </w:r>
          </w:p>
        </w:tc>
        <w:tc>
          <w:tcPr>
            <w:tcW w:w="1041" w:type="dxa"/>
            <w:noWrap/>
            <w:vAlign w:val="center"/>
          </w:tcPr>
          <w:p w14:paraId="13F0CC6F"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2.7</w:t>
            </w:r>
          </w:p>
        </w:tc>
      </w:tr>
      <w:tr w:rsidR="00637225" w14:paraId="1E9C2D4E" w14:textId="77777777">
        <w:trPr>
          <w:trHeight w:val="284"/>
        </w:trPr>
        <w:tc>
          <w:tcPr>
            <w:tcW w:w="317" w:type="pct"/>
            <w:noWrap/>
          </w:tcPr>
          <w:p w14:paraId="73D5635B"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9</w:t>
            </w:r>
          </w:p>
        </w:tc>
        <w:tc>
          <w:tcPr>
            <w:tcW w:w="4389" w:type="dxa"/>
            <w:noWrap/>
            <w:vAlign w:val="center"/>
          </w:tcPr>
          <w:p w14:paraId="5C51891A"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proofErr w:type="gramStart"/>
            <w:r>
              <w:rPr>
                <w:rFonts w:ascii="宋体" w:hAnsi="宋体" w:cs="宋体" w:hint="eastAsia"/>
                <w:kern w:val="0"/>
                <w:szCs w:val="21"/>
                <w:lang w:bidi="ar"/>
              </w:rPr>
              <w:t>煜环环境</w:t>
            </w:r>
            <w:proofErr w:type="gramEnd"/>
            <w:r>
              <w:rPr>
                <w:rFonts w:ascii="宋体" w:hAnsi="宋体" w:cs="宋体" w:hint="eastAsia"/>
                <w:kern w:val="0"/>
                <w:szCs w:val="21"/>
                <w:lang w:bidi="ar"/>
              </w:rPr>
              <w:t>科技有限公司</w:t>
            </w:r>
          </w:p>
        </w:tc>
        <w:tc>
          <w:tcPr>
            <w:tcW w:w="1364" w:type="dxa"/>
            <w:noWrap/>
            <w:vAlign w:val="center"/>
          </w:tcPr>
          <w:p w14:paraId="3F058BC7"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3.02</w:t>
            </w:r>
          </w:p>
        </w:tc>
        <w:tc>
          <w:tcPr>
            <w:tcW w:w="1188" w:type="dxa"/>
            <w:noWrap/>
            <w:vAlign w:val="center"/>
          </w:tcPr>
          <w:p w14:paraId="52D02942"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5</w:t>
            </w:r>
          </w:p>
        </w:tc>
        <w:tc>
          <w:tcPr>
            <w:tcW w:w="1041" w:type="dxa"/>
            <w:noWrap/>
            <w:vAlign w:val="center"/>
          </w:tcPr>
          <w:p w14:paraId="16CBAC42"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2.5</w:t>
            </w:r>
          </w:p>
        </w:tc>
      </w:tr>
      <w:tr w:rsidR="00637225" w14:paraId="51608DC0" w14:textId="77777777">
        <w:trPr>
          <w:trHeight w:val="284"/>
        </w:trPr>
        <w:tc>
          <w:tcPr>
            <w:tcW w:w="317" w:type="pct"/>
            <w:noWrap/>
          </w:tcPr>
          <w:p w14:paraId="6882CE31"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10</w:t>
            </w:r>
          </w:p>
        </w:tc>
        <w:tc>
          <w:tcPr>
            <w:tcW w:w="4389" w:type="dxa"/>
            <w:noWrap/>
            <w:vAlign w:val="center"/>
          </w:tcPr>
          <w:p w14:paraId="7D2D2B3A"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常州</w:t>
            </w:r>
            <w:proofErr w:type="gramStart"/>
            <w:r>
              <w:rPr>
                <w:rFonts w:ascii="宋体" w:hAnsi="宋体" w:cs="宋体" w:hint="eastAsia"/>
                <w:kern w:val="0"/>
                <w:szCs w:val="21"/>
                <w:lang w:bidi="ar"/>
              </w:rPr>
              <w:t>卓正环境</w:t>
            </w:r>
            <w:proofErr w:type="gramEnd"/>
            <w:r>
              <w:rPr>
                <w:rFonts w:ascii="宋体" w:hAnsi="宋体" w:cs="宋体" w:hint="eastAsia"/>
                <w:kern w:val="0"/>
                <w:szCs w:val="21"/>
                <w:lang w:bidi="ar"/>
              </w:rPr>
              <w:t>科技有限公司</w:t>
            </w:r>
          </w:p>
        </w:tc>
        <w:tc>
          <w:tcPr>
            <w:tcW w:w="1364" w:type="dxa"/>
            <w:noWrap/>
            <w:vAlign w:val="center"/>
          </w:tcPr>
          <w:p w14:paraId="48E052D2"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2.31</w:t>
            </w:r>
          </w:p>
        </w:tc>
        <w:tc>
          <w:tcPr>
            <w:tcW w:w="1188" w:type="dxa"/>
            <w:noWrap/>
            <w:vAlign w:val="center"/>
          </w:tcPr>
          <w:p w14:paraId="60D61AC7" w14:textId="77777777" w:rsidR="00637225" w:rsidRDefault="00286D31" w:rsidP="006013E0">
            <w:pPr>
              <w:widowControl/>
              <w:snapToGrid w:val="0"/>
              <w:spacing w:line="360" w:lineRule="auto"/>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Cs w:val="21"/>
              </w:rPr>
              <w:t>2</w:t>
            </w:r>
          </w:p>
        </w:tc>
        <w:tc>
          <w:tcPr>
            <w:tcW w:w="1041" w:type="dxa"/>
            <w:noWrap/>
            <w:vAlign w:val="center"/>
          </w:tcPr>
          <w:p w14:paraId="10CE31FE" w14:textId="77777777" w:rsidR="00637225" w:rsidRDefault="00286D31" w:rsidP="006013E0">
            <w:pPr>
              <w:widowControl/>
              <w:snapToGrid w:val="0"/>
              <w:spacing w:line="360" w:lineRule="auto"/>
              <w:jc w:val="center"/>
              <w:textAlignment w:val="center"/>
              <w:rPr>
                <w:rFonts w:asciiTheme="minorEastAsia" w:eastAsiaTheme="minorEastAsia" w:hAnsiTheme="minorEastAsia" w:cs="宋体"/>
                <w:kern w:val="0"/>
                <w:sz w:val="20"/>
                <w:szCs w:val="21"/>
              </w:rPr>
            </w:pPr>
            <w:r>
              <w:rPr>
                <w:rFonts w:ascii="宋体" w:hAnsi="宋体" w:cs="宋体" w:hint="eastAsia"/>
                <w:kern w:val="0"/>
                <w:szCs w:val="21"/>
                <w:lang w:bidi="ar"/>
              </w:rPr>
              <w:t>1.9</w:t>
            </w:r>
          </w:p>
        </w:tc>
      </w:tr>
      <w:tr w:rsidR="00637225" w14:paraId="33661E9C" w14:textId="77777777">
        <w:trPr>
          <w:trHeight w:val="284"/>
        </w:trPr>
        <w:tc>
          <w:tcPr>
            <w:tcW w:w="317" w:type="pct"/>
            <w:noWrap/>
          </w:tcPr>
          <w:p w14:paraId="002AEC99" w14:textId="77777777" w:rsidR="00637225" w:rsidRDefault="00637225" w:rsidP="006013E0">
            <w:pPr>
              <w:widowControl/>
              <w:snapToGrid w:val="0"/>
              <w:spacing w:line="360" w:lineRule="auto"/>
              <w:jc w:val="center"/>
              <w:rPr>
                <w:rFonts w:asciiTheme="minorEastAsia" w:eastAsiaTheme="minorEastAsia" w:hAnsiTheme="minorEastAsia" w:cs="宋体"/>
                <w:kern w:val="0"/>
                <w:sz w:val="20"/>
                <w:szCs w:val="21"/>
              </w:rPr>
            </w:pPr>
          </w:p>
        </w:tc>
        <w:tc>
          <w:tcPr>
            <w:tcW w:w="2574" w:type="pct"/>
            <w:noWrap/>
          </w:tcPr>
          <w:p w14:paraId="09C36800"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合计</w:t>
            </w:r>
          </w:p>
        </w:tc>
        <w:tc>
          <w:tcPr>
            <w:tcW w:w="800" w:type="pct"/>
            <w:noWrap/>
          </w:tcPr>
          <w:p w14:paraId="2879873E"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67.19</w:t>
            </w:r>
          </w:p>
        </w:tc>
        <w:tc>
          <w:tcPr>
            <w:tcW w:w="697" w:type="pct"/>
            <w:noWrap/>
          </w:tcPr>
          <w:p w14:paraId="59462310"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70</w:t>
            </w:r>
          </w:p>
        </w:tc>
        <w:tc>
          <w:tcPr>
            <w:tcW w:w="611" w:type="pct"/>
            <w:noWrap/>
          </w:tcPr>
          <w:p w14:paraId="72BC0DB0" w14:textId="77777777" w:rsidR="00637225" w:rsidRDefault="00286D31" w:rsidP="006013E0">
            <w:pPr>
              <w:widowControl/>
              <w:snapToGrid w:val="0"/>
              <w:spacing w:line="360" w:lineRule="auto"/>
              <w:jc w:val="center"/>
              <w:rPr>
                <w:rFonts w:asciiTheme="minorEastAsia" w:eastAsiaTheme="minorEastAsia" w:hAnsiTheme="minorEastAsia" w:cs="宋体"/>
                <w:b/>
                <w:kern w:val="0"/>
                <w:sz w:val="20"/>
                <w:szCs w:val="21"/>
              </w:rPr>
            </w:pPr>
            <w:r>
              <w:rPr>
                <w:rFonts w:asciiTheme="minorEastAsia" w:eastAsiaTheme="minorEastAsia" w:hAnsiTheme="minorEastAsia" w:cs="宋体" w:hint="eastAsia"/>
                <w:b/>
                <w:kern w:val="0"/>
                <w:szCs w:val="21"/>
              </w:rPr>
              <w:t>55.3</w:t>
            </w:r>
          </w:p>
        </w:tc>
      </w:tr>
    </w:tbl>
    <w:p w14:paraId="797E1028" w14:textId="77777777" w:rsidR="00637225" w:rsidRPr="002249DB" w:rsidRDefault="00286D31" w:rsidP="006013E0">
      <w:pPr>
        <w:pStyle w:val="2"/>
        <w:tabs>
          <w:tab w:val="clear" w:pos="0"/>
          <w:tab w:val="clear" w:pos="360"/>
          <w:tab w:val="clear" w:pos="720"/>
          <w:tab w:val="clear" w:pos="4832"/>
        </w:tabs>
        <w:adjustRightInd/>
        <w:snapToGrid w:val="0"/>
        <w:spacing w:beforeLines="0" w:afterLines="0"/>
        <w:contextualSpacing w:val="0"/>
        <w:jc w:val="both"/>
        <w:rPr>
          <w:rFonts w:eastAsia="黑体"/>
          <w:color w:val="000000" w:themeColor="text1"/>
        </w:rPr>
      </w:pPr>
      <w:r w:rsidRPr="002249DB">
        <w:rPr>
          <w:rFonts w:eastAsia="黑体" w:hint="eastAsia"/>
          <w:color w:val="000000" w:themeColor="text1"/>
        </w:rPr>
        <w:t>3.4</w:t>
      </w:r>
      <w:r w:rsidRPr="002249DB">
        <w:rPr>
          <w:rFonts w:eastAsia="黑体" w:hint="eastAsia"/>
          <w:color w:val="000000" w:themeColor="text1"/>
        </w:rPr>
        <w:t>重点修复工程项目分析</w:t>
      </w:r>
    </w:p>
    <w:p w14:paraId="743EB841" w14:textId="10AAE857" w:rsidR="00637225" w:rsidRDefault="00286D31" w:rsidP="006013E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w:t>
      </w:r>
      <w:r>
        <w:rPr>
          <w:rFonts w:asciiTheme="minorEastAsia" w:eastAsiaTheme="minorEastAsia" w:hAnsiTheme="minorEastAsia" w:hint="eastAsia"/>
          <w:sz w:val="24"/>
        </w:rPr>
        <w:t>1年修复工程项目金额排名前1</w:t>
      </w:r>
      <w:r>
        <w:rPr>
          <w:rFonts w:asciiTheme="minorEastAsia" w:eastAsiaTheme="minorEastAsia" w:hAnsiTheme="minorEastAsia"/>
          <w:sz w:val="24"/>
        </w:rPr>
        <w:t>0</w:t>
      </w:r>
      <w:r>
        <w:rPr>
          <w:rFonts w:asciiTheme="minorEastAsia" w:eastAsiaTheme="minorEastAsia" w:hAnsiTheme="minorEastAsia" w:hint="eastAsia"/>
          <w:sz w:val="24"/>
        </w:rPr>
        <w:t>的项目合计金额为28.51亿元，占全国修复项目总额的25.11%，且单个项目金额均超过2个亿。重庆作为2021年一个重要修复市场，启动了多项大型修复工程，金额排名前10位的重点项目中有6个项目位于重庆。</w:t>
      </w:r>
    </w:p>
    <w:p w14:paraId="221ABADA" w14:textId="77777777" w:rsidR="002249DB" w:rsidRDefault="002249DB" w:rsidP="002249DB">
      <w:pPr>
        <w:snapToGrid w:val="0"/>
        <w:spacing w:line="360" w:lineRule="auto"/>
        <w:ind w:firstLineChars="200" w:firstLine="480"/>
        <w:jc w:val="left"/>
        <w:rPr>
          <w:rFonts w:asciiTheme="minorEastAsia" w:eastAsiaTheme="minorEastAsia" w:hAnsiTheme="minorEastAsia"/>
          <w:sz w:val="24"/>
          <w:highlight w:val="yellow"/>
        </w:rPr>
      </w:pPr>
      <w:r w:rsidRPr="000E3E89">
        <w:rPr>
          <w:rFonts w:asciiTheme="minorEastAsia" w:eastAsiaTheme="minorEastAsia" w:hAnsiTheme="minorEastAsia" w:hint="eastAsia"/>
          <w:sz w:val="24"/>
        </w:rPr>
        <w:t>2021年工程项目金额超过1个亿的修复项目有28个，总金额55.3亿，占全国修复项目总额的45.5%。全国钢铁行业遗留场地修复工程项目金额超过5000万的有14个修复项目，主要包括重钢（重庆）、杭钢（杭钢）与原马钢(合肥)</w:t>
      </w:r>
      <w:r>
        <w:rPr>
          <w:rFonts w:asciiTheme="minorEastAsia" w:eastAsiaTheme="minorEastAsia" w:hAnsiTheme="minorEastAsia" w:hint="eastAsia"/>
          <w:sz w:val="24"/>
        </w:rPr>
        <w:t>等重点</w:t>
      </w:r>
      <w:r w:rsidRPr="000E3E89">
        <w:rPr>
          <w:rFonts w:asciiTheme="minorEastAsia" w:eastAsiaTheme="minorEastAsia" w:hAnsiTheme="minorEastAsia" w:hint="eastAsia"/>
          <w:sz w:val="24"/>
        </w:rPr>
        <w:t>钢铁厂遗留场地修复工程，总金额30.5亿，占全国修复项目总额的25%。</w:t>
      </w:r>
      <w:r>
        <w:rPr>
          <w:rFonts w:asciiTheme="minorEastAsia" w:eastAsiaTheme="minorEastAsia" w:hAnsiTheme="minorEastAsia" w:hint="eastAsia"/>
          <w:sz w:val="24"/>
        </w:rPr>
        <w:t>另外，2</w:t>
      </w:r>
      <w:r>
        <w:rPr>
          <w:rFonts w:asciiTheme="minorEastAsia" w:eastAsiaTheme="minorEastAsia" w:hAnsiTheme="minorEastAsia"/>
          <w:sz w:val="24"/>
        </w:rPr>
        <w:t>021</w:t>
      </w:r>
      <w:r>
        <w:rPr>
          <w:rFonts w:asciiTheme="minorEastAsia" w:eastAsiaTheme="minorEastAsia" w:hAnsiTheme="minorEastAsia" w:hint="eastAsia"/>
          <w:sz w:val="24"/>
        </w:rPr>
        <w:t>年</w:t>
      </w:r>
      <w:proofErr w:type="gramStart"/>
      <w:r w:rsidRPr="000E3E89">
        <w:rPr>
          <w:rFonts w:asciiTheme="minorEastAsia" w:eastAsiaTheme="minorEastAsia" w:hAnsiTheme="minorEastAsia" w:hint="eastAsia"/>
          <w:sz w:val="24"/>
        </w:rPr>
        <w:t>河钢唐</w:t>
      </w:r>
      <w:proofErr w:type="gramEnd"/>
      <w:r w:rsidRPr="000E3E89">
        <w:rPr>
          <w:rFonts w:asciiTheme="minorEastAsia" w:eastAsiaTheme="minorEastAsia" w:hAnsiTheme="minorEastAsia" w:hint="eastAsia"/>
          <w:sz w:val="24"/>
        </w:rPr>
        <w:t>钢老工业区搬迁（路北区）项目土地污染治理项目环境调查评估</w:t>
      </w:r>
      <w:r>
        <w:rPr>
          <w:rFonts w:asciiTheme="minorEastAsia" w:eastAsiaTheme="minorEastAsia" w:hAnsiTheme="minorEastAsia" w:hint="eastAsia"/>
          <w:sz w:val="24"/>
        </w:rPr>
        <w:t>项目已经启动，预计未来1-</w:t>
      </w:r>
      <w:r>
        <w:rPr>
          <w:rFonts w:asciiTheme="minorEastAsia" w:eastAsiaTheme="minorEastAsia" w:hAnsiTheme="minorEastAsia"/>
          <w:sz w:val="24"/>
        </w:rPr>
        <w:t>2</w:t>
      </w:r>
      <w:r>
        <w:rPr>
          <w:rFonts w:asciiTheme="minorEastAsia" w:eastAsiaTheme="minorEastAsia" w:hAnsiTheme="minorEastAsia" w:hint="eastAsia"/>
          <w:sz w:val="24"/>
        </w:rPr>
        <w:t>年内该地块将会启动项目修复工程施工。</w:t>
      </w:r>
    </w:p>
    <w:p w14:paraId="252F7AD8" w14:textId="77777777" w:rsidR="00637225" w:rsidRPr="002249DB" w:rsidRDefault="00286D31" w:rsidP="006013E0">
      <w:pPr>
        <w:snapToGrid w:val="0"/>
        <w:spacing w:line="360" w:lineRule="auto"/>
        <w:jc w:val="center"/>
        <w:rPr>
          <w:rFonts w:ascii="宋体" w:hAnsi="宋体"/>
          <w:b/>
          <w:bCs/>
        </w:rPr>
      </w:pPr>
      <w:r w:rsidRPr="002249DB">
        <w:rPr>
          <w:rFonts w:ascii="宋体" w:hAnsi="宋体" w:hint="eastAsia"/>
          <w:b/>
          <w:bCs/>
        </w:rPr>
        <w:t>表3-4 2021年重点修复工程项目基本信息</w:t>
      </w:r>
    </w:p>
    <w:tbl>
      <w:tblPr>
        <w:tblW w:w="5052" w:type="pct"/>
        <w:tblLook w:val="04A0" w:firstRow="1" w:lastRow="0" w:firstColumn="1" w:lastColumn="0" w:noHBand="0" w:noVBand="1"/>
      </w:tblPr>
      <w:tblGrid>
        <w:gridCol w:w="673"/>
        <w:gridCol w:w="850"/>
        <w:gridCol w:w="3406"/>
        <w:gridCol w:w="1058"/>
        <w:gridCol w:w="2725"/>
      </w:tblGrid>
      <w:tr w:rsidR="00637225" w:rsidRPr="0093704B" w14:paraId="67E8DA97" w14:textId="77777777" w:rsidTr="0093704B">
        <w:trPr>
          <w:trHeight w:val="284"/>
          <w:tblHeader/>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988733B" w14:textId="77777777" w:rsidR="00637225" w:rsidRPr="0093704B" w:rsidRDefault="00286D31" w:rsidP="006013E0">
            <w:pPr>
              <w:widowControl/>
              <w:snapToGrid w:val="0"/>
              <w:spacing w:line="360" w:lineRule="auto"/>
              <w:jc w:val="center"/>
              <w:rPr>
                <w:rFonts w:asciiTheme="minorEastAsia" w:eastAsiaTheme="minorEastAsia" w:hAnsiTheme="minorEastAsia" w:cs="宋体"/>
                <w:b/>
                <w:bCs/>
                <w:kern w:val="0"/>
                <w:sz w:val="20"/>
                <w:szCs w:val="20"/>
              </w:rPr>
            </w:pPr>
            <w:r w:rsidRPr="0093704B">
              <w:rPr>
                <w:rFonts w:asciiTheme="minorEastAsia" w:eastAsiaTheme="minorEastAsia" w:hAnsiTheme="minorEastAsia" w:cs="宋体" w:hint="eastAsia"/>
                <w:b/>
                <w:bCs/>
                <w:kern w:val="0"/>
                <w:sz w:val="20"/>
                <w:szCs w:val="20"/>
              </w:rPr>
              <w:t>序号</w:t>
            </w:r>
          </w:p>
        </w:tc>
        <w:tc>
          <w:tcPr>
            <w:tcW w:w="488" w:type="pct"/>
            <w:tcBorders>
              <w:top w:val="single" w:sz="4" w:space="0" w:color="auto"/>
              <w:left w:val="nil"/>
              <w:bottom w:val="single" w:sz="4" w:space="0" w:color="auto"/>
              <w:right w:val="single" w:sz="4" w:space="0" w:color="auto"/>
            </w:tcBorders>
            <w:shd w:val="clear" w:color="auto" w:fill="auto"/>
            <w:vAlign w:val="center"/>
          </w:tcPr>
          <w:p w14:paraId="72B97233" w14:textId="77777777" w:rsidR="00637225" w:rsidRPr="0093704B" w:rsidRDefault="00286D31" w:rsidP="006013E0">
            <w:pPr>
              <w:widowControl/>
              <w:snapToGrid w:val="0"/>
              <w:spacing w:line="360" w:lineRule="auto"/>
              <w:jc w:val="center"/>
              <w:rPr>
                <w:rFonts w:asciiTheme="minorEastAsia" w:eastAsiaTheme="minorEastAsia" w:hAnsiTheme="minorEastAsia" w:cs="宋体"/>
                <w:b/>
                <w:bCs/>
                <w:kern w:val="0"/>
                <w:sz w:val="20"/>
                <w:szCs w:val="20"/>
              </w:rPr>
            </w:pPr>
            <w:r w:rsidRPr="0093704B">
              <w:rPr>
                <w:rFonts w:asciiTheme="minorEastAsia" w:eastAsiaTheme="minorEastAsia" w:hAnsiTheme="minorEastAsia" w:cs="宋体" w:hint="eastAsia"/>
                <w:b/>
                <w:bCs/>
                <w:kern w:val="0"/>
                <w:sz w:val="20"/>
                <w:szCs w:val="20"/>
              </w:rPr>
              <w:t>地市</w:t>
            </w:r>
          </w:p>
        </w:tc>
        <w:tc>
          <w:tcPr>
            <w:tcW w:w="1955" w:type="pct"/>
            <w:tcBorders>
              <w:top w:val="single" w:sz="4" w:space="0" w:color="auto"/>
              <w:left w:val="nil"/>
              <w:bottom w:val="single" w:sz="4" w:space="0" w:color="auto"/>
              <w:right w:val="single" w:sz="4" w:space="0" w:color="auto"/>
            </w:tcBorders>
            <w:shd w:val="clear" w:color="auto" w:fill="auto"/>
            <w:vAlign w:val="center"/>
          </w:tcPr>
          <w:p w14:paraId="4F5F1194" w14:textId="77777777" w:rsidR="00637225" w:rsidRPr="0093704B" w:rsidRDefault="00286D31" w:rsidP="006013E0">
            <w:pPr>
              <w:widowControl/>
              <w:snapToGrid w:val="0"/>
              <w:spacing w:line="360" w:lineRule="auto"/>
              <w:jc w:val="center"/>
              <w:rPr>
                <w:rFonts w:asciiTheme="minorEastAsia" w:eastAsiaTheme="minorEastAsia" w:hAnsiTheme="minorEastAsia" w:cs="宋体"/>
                <w:b/>
                <w:bCs/>
                <w:kern w:val="0"/>
                <w:sz w:val="20"/>
                <w:szCs w:val="20"/>
              </w:rPr>
            </w:pPr>
            <w:r w:rsidRPr="0093704B">
              <w:rPr>
                <w:rFonts w:asciiTheme="minorEastAsia" w:eastAsiaTheme="minorEastAsia" w:hAnsiTheme="minorEastAsia" w:cs="宋体" w:hint="eastAsia"/>
                <w:b/>
                <w:bCs/>
                <w:kern w:val="0"/>
                <w:sz w:val="20"/>
                <w:szCs w:val="20"/>
              </w:rPr>
              <w:t>项目名称</w:t>
            </w:r>
          </w:p>
        </w:tc>
        <w:tc>
          <w:tcPr>
            <w:tcW w:w="607" w:type="pct"/>
            <w:tcBorders>
              <w:top w:val="single" w:sz="4" w:space="0" w:color="auto"/>
              <w:left w:val="nil"/>
              <w:bottom w:val="single" w:sz="4" w:space="0" w:color="auto"/>
              <w:right w:val="single" w:sz="4" w:space="0" w:color="auto"/>
            </w:tcBorders>
            <w:shd w:val="clear" w:color="auto" w:fill="auto"/>
            <w:vAlign w:val="center"/>
          </w:tcPr>
          <w:p w14:paraId="5852C46A" w14:textId="5DF1DFE4" w:rsidR="00637225" w:rsidRPr="0093704B" w:rsidRDefault="00286D31" w:rsidP="0093704B">
            <w:pPr>
              <w:widowControl/>
              <w:snapToGrid w:val="0"/>
              <w:spacing w:line="360" w:lineRule="auto"/>
              <w:jc w:val="center"/>
              <w:rPr>
                <w:rFonts w:asciiTheme="minorEastAsia" w:eastAsiaTheme="minorEastAsia" w:hAnsiTheme="minorEastAsia" w:cs="宋体"/>
                <w:b/>
                <w:bCs/>
                <w:kern w:val="0"/>
                <w:sz w:val="20"/>
                <w:szCs w:val="20"/>
              </w:rPr>
            </w:pPr>
            <w:r w:rsidRPr="0093704B">
              <w:rPr>
                <w:rFonts w:asciiTheme="minorEastAsia" w:eastAsiaTheme="minorEastAsia" w:hAnsiTheme="minorEastAsia" w:cs="宋体" w:hint="eastAsia"/>
                <w:b/>
                <w:bCs/>
                <w:kern w:val="0"/>
                <w:sz w:val="20"/>
                <w:szCs w:val="20"/>
              </w:rPr>
              <w:t>项目金额/亿元</w:t>
            </w:r>
          </w:p>
        </w:tc>
        <w:tc>
          <w:tcPr>
            <w:tcW w:w="1565" w:type="pct"/>
            <w:tcBorders>
              <w:top w:val="single" w:sz="4" w:space="0" w:color="auto"/>
              <w:left w:val="nil"/>
              <w:bottom w:val="single" w:sz="4" w:space="0" w:color="auto"/>
              <w:right w:val="single" w:sz="4" w:space="0" w:color="auto"/>
            </w:tcBorders>
            <w:shd w:val="clear" w:color="auto" w:fill="auto"/>
            <w:vAlign w:val="center"/>
          </w:tcPr>
          <w:p w14:paraId="7A45EED8" w14:textId="77777777" w:rsidR="00637225" w:rsidRPr="0093704B" w:rsidRDefault="00286D31" w:rsidP="006013E0">
            <w:pPr>
              <w:widowControl/>
              <w:snapToGrid w:val="0"/>
              <w:spacing w:line="360" w:lineRule="auto"/>
              <w:jc w:val="center"/>
              <w:rPr>
                <w:rFonts w:asciiTheme="minorEastAsia" w:eastAsiaTheme="minorEastAsia" w:hAnsiTheme="minorEastAsia" w:cs="宋体"/>
                <w:b/>
                <w:bCs/>
                <w:kern w:val="0"/>
                <w:sz w:val="20"/>
                <w:szCs w:val="20"/>
              </w:rPr>
            </w:pPr>
            <w:r w:rsidRPr="0093704B">
              <w:rPr>
                <w:rFonts w:asciiTheme="minorEastAsia" w:eastAsiaTheme="minorEastAsia" w:hAnsiTheme="minorEastAsia" w:cs="宋体" w:hint="eastAsia"/>
                <w:b/>
                <w:bCs/>
                <w:kern w:val="0"/>
                <w:sz w:val="20"/>
                <w:szCs w:val="20"/>
              </w:rPr>
              <w:t>中标单位</w:t>
            </w:r>
          </w:p>
        </w:tc>
      </w:tr>
      <w:tr w:rsidR="00637225" w:rsidRPr="0093704B" w14:paraId="1E89BF35"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6B16B21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w:t>
            </w:r>
          </w:p>
        </w:tc>
        <w:tc>
          <w:tcPr>
            <w:tcW w:w="488" w:type="pct"/>
            <w:tcBorders>
              <w:top w:val="nil"/>
              <w:left w:val="nil"/>
              <w:bottom w:val="single" w:sz="4" w:space="0" w:color="auto"/>
              <w:right w:val="single" w:sz="4" w:space="0" w:color="auto"/>
            </w:tcBorders>
            <w:shd w:val="clear" w:color="auto" w:fill="auto"/>
            <w:vAlign w:val="center"/>
          </w:tcPr>
          <w:p w14:paraId="60BAF10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nil"/>
              <w:left w:val="nil"/>
              <w:bottom w:val="single" w:sz="4" w:space="0" w:color="auto"/>
              <w:right w:val="single" w:sz="4" w:space="0" w:color="auto"/>
            </w:tcBorders>
            <w:shd w:val="clear" w:color="auto" w:fill="auto"/>
            <w:vAlign w:val="center"/>
          </w:tcPr>
          <w:p w14:paraId="7EBD56E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重钢焦化厂原址场地污染土壤治理</w:t>
            </w:r>
            <w:r w:rsidRPr="0093704B">
              <w:rPr>
                <w:rFonts w:asciiTheme="minorEastAsia" w:eastAsiaTheme="minorEastAsia" w:hAnsiTheme="minorEastAsia" w:cs="宋体" w:hint="eastAsia"/>
                <w:kern w:val="0"/>
                <w:sz w:val="20"/>
                <w:szCs w:val="20"/>
              </w:rPr>
              <w:lastRenderedPageBreak/>
              <w:t>修复项目设计及施工1标段</w:t>
            </w:r>
          </w:p>
        </w:tc>
        <w:tc>
          <w:tcPr>
            <w:tcW w:w="607" w:type="pct"/>
            <w:tcBorders>
              <w:top w:val="nil"/>
              <w:left w:val="nil"/>
              <w:bottom w:val="single" w:sz="4" w:space="0" w:color="auto"/>
              <w:right w:val="single" w:sz="4" w:space="0" w:color="auto"/>
            </w:tcBorders>
            <w:shd w:val="clear" w:color="auto" w:fill="auto"/>
            <w:vAlign w:val="center"/>
          </w:tcPr>
          <w:p w14:paraId="40BBF96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lastRenderedPageBreak/>
              <w:t>4.71</w:t>
            </w:r>
          </w:p>
        </w:tc>
        <w:tc>
          <w:tcPr>
            <w:tcW w:w="1565" w:type="pct"/>
            <w:tcBorders>
              <w:top w:val="nil"/>
              <w:left w:val="nil"/>
              <w:bottom w:val="single" w:sz="4" w:space="0" w:color="auto"/>
              <w:right w:val="single" w:sz="4" w:space="0" w:color="auto"/>
            </w:tcBorders>
            <w:shd w:val="clear" w:color="auto" w:fill="auto"/>
            <w:vAlign w:val="center"/>
          </w:tcPr>
          <w:p w14:paraId="065C508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中冶南方</w:t>
            </w:r>
            <w:proofErr w:type="gramEnd"/>
            <w:r w:rsidRPr="0093704B">
              <w:rPr>
                <w:rFonts w:asciiTheme="minorEastAsia" w:eastAsiaTheme="minorEastAsia" w:hAnsiTheme="minorEastAsia" w:cs="宋体" w:hint="eastAsia"/>
                <w:kern w:val="0"/>
                <w:sz w:val="20"/>
                <w:szCs w:val="20"/>
              </w:rPr>
              <w:t>都市环保工程技术</w:t>
            </w:r>
            <w:r w:rsidRPr="0093704B">
              <w:rPr>
                <w:rFonts w:asciiTheme="minorEastAsia" w:eastAsiaTheme="minorEastAsia" w:hAnsiTheme="minorEastAsia" w:cs="宋体" w:hint="eastAsia"/>
                <w:kern w:val="0"/>
                <w:sz w:val="20"/>
                <w:szCs w:val="20"/>
              </w:rPr>
              <w:lastRenderedPageBreak/>
              <w:t>股份有限公司</w:t>
            </w:r>
          </w:p>
        </w:tc>
      </w:tr>
      <w:tr w:rsidR="00637225" w:rsidRPr="0093704B" w14:paraId="39B3B0B8"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2579134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lastRenderedPageBreak/>
              <w:t>2</w:t>
            </w:r>
          </w:p>
        </w:tc>
        <w:tc>
          <w:tcPr>
            <w:tcW w:w="488" w:type="pct"/>
            <w:tcBorders>
              <w:top w:val="nil"/>
              <w:left w:val="nil"/>
              <w:bottom w:val="single" w:sz="4" w:space="0" w:color="auto"/>
              <w:right w:val="single" w:sz="4" w:space="0" w:color="auto"/>
            </w:tcBorders>
            <w:shd w:val="clear" w:color="auto" w:fill="auto"/>
            <w:vAlign w:val="center"/>
          </w:tcPr>
          <w:p w14:paraId="30E50EB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nil"/>
              <w:left w:val="nil"/>
              <w:bottom w:val="single" w:sz="4" w:space="0" w:color="auto"/>
              <w:right w:val="single" w:sz="4" w:space="0" w:color="auto"/>
            </w:tcBorders>
            <w:shd w:val="clear" w:color="auto" w:fill="auto"/>
            <w:vAlign w:val="center"/>
          </w:tcPr>
          <w:p w14:paraId="5E7160D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重钢焦化厂原址场地污染土壤治理修复项目设计及施工2标段</w:t>
            </w:r>
          </w:p>
        </w:tc>
        <w:tc>
          <w:tcPr>
            <w:tcW w:w="607" w:type="pct"/>
            <w:tcBorders>
              <w:top w:val="nil"/>
              <w:left w:val="nil"/>
              <w:bottom w:val="single" w:sz="4" w:space="0" w:color="auto"/>
              <w:right w:val="single" w:sz="4" w:space="0" w:color="auto"/>
            </w:tcBorders>
            <w:shd w:val="clear" w:color="auto" w:fill="auto"/>
            <w:vAlign w:val="center"/>
          </w:tcPr>
          <w:p w14:paraId="3E9DB97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3.67</w:t>
            </w:r>
          </w:p>
        </w:tc>
        <w:tc>
          <w:tcPr>
            <w:tcW w:w="1565" w:type="pct"/>
            <w:tcBorders>
              <w:top w:val="nil"/>
              <w:left w:val="nil"/>
              <w:bottom w:val="single" w:sz="4" w:space="0" w:color="auto"/>
              <w:right w:val="single" w:sz="4" w:space="0" w:color="auto"/>
            </w:tcBorders>
            <w:shd w:val="clear" w:color="auto" w:fill="auto"/>
            <w:vAlign w:val="center"/>
          </w:tcPr>
          <w:p w14:paraId="43E16A3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中节能大地（杭州）环境修复有限公司/湖南省和清环境科技有限公司</w:t>
            </w:r>
          </w:p>
        </w:tc>
      </w:tr>
      <w:tr w:rsidR="00637225" w:rsidRPr="0093704B" w14:paraId="145F8D3E"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3D8F514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w:t>
            </w:r>
          </w:p>
        </w:tc>
        <w:tc>
          <w:tcPr>
            <w:tcW w:w="488" w:type="pct"/>
            <w:tcBorders>
              <w:top w:val="nil"/>
              <w:left w:val="nil"/>
              <w:bottom w:val="single" w:sz="4" w:space="0" w:color="auto"/>
              <w:right w:val="single" w:sz="4" w:space="0" w:color="auto"/>
            </w:tcBorders>
            <w:shd w:val="clear" w:color="auto" w:fill="auto"/>
            <w:vAlign w:val="center"/>
          </w:tcPr>
          <w:p w14:paraId="3E2E8AE7"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nil"/>
              <w:left w:val="nil"/>
              <w:bottom w:val="single" w:sz="4" w:space="0" w:color="auto"/>
              <w:right w:val="single" w:sz="4" w:space="0" w:color="auto"/>
            </w:tcBorders>
            <w:shd w:val="clear" w:color="auto" w:fill="auto"/>
            <w:vAlign w:val="center"/>
          </w:tcPr>
          <w:p w14:paraId="1A93A5E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重钢渔</w:t>
            </w:r>
            <w:proofErr w:type="gramStart"/>
            <w:r w:rsidRPr="0093704B">
              <w:rPr>
                <w:rFonts w:asciiTheme="minorEastAsia" w:eastAsiaTheme="minorEastAsia" w:hAnsiTheme="minorEastAsia" w:cs="宋体" w:hint="eastAsia"/>
                <w:kern w:val="0"/>
                <w:sz w:val="20"/>
                <w:szCs w:val="20"/>
              </w:rPr>
              <w:t>鳅浩</w:t>
            </w:r>
            <w:proofErr w:type="gramEnd"/>
            <w:r w:rsidRPr="0093704B">
              <w:rPr>
                <w:rFonts w:asciiTheme="minorEastAsia" w:eastAsiaTheme="minorEastAsia" w:hAnsiTheme="minorEastAsia" w:cs="宋体" w:hint="eastAsia"/>
                <w:kern w:val="0"/>
                <w:sz w:val="20"/>
                <w:szCs w:val="20"/>
              </w:rPr>
              <w:t>原址场地污染土壤治理修复项目</w:t>
            </w:r>
          </w:p>
        </w:tc>
        <w:tc>
          <w:tcPr>
            <w:tcW w:w="607" w:type="pct"/>
            <w:tcBorders>
              <w:top w:val="nil"/>
              <w:left w:val="nil"/>
              <w:bottom w:val="single" w:sz="4" w:space="0" w:color="auto"/>
              <w:right w:val="single" w:sz="4" w:space="0" w:color="auto"/>
            </w:tcBorders>
            <w:shd w:val="clear" w:color="auto" w:fill="auto"/>
            <w:vAlign w:val="center"/>
          </w:tcPr>
          <w:p w14:paraId="2D50243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3.34</w:t>
            </w:r>
          </w:p>
        </w:tc>
        <w:tc>
          <w:tcPr>
            <w:tcW w:w="1565" w:type="pct"/>
            <w:tcBorders>
              <w:top w:val="nil"/>
              <w:left w:val="nil"/>
              <w:bottom w:val="single" w:sz="4" w:space="0" w:color="auto"/>
              <w:right w:val="single" w:sz="4" w:space="0" w:color="auto"/>
            </w:tcBorders>
            <w:shd w:val="clear" w:color="auto" w:fill="auto"/>
            <w:vAlign w:val="center"/>
          </w:tcPr>
          <w:p w14:paraId="7689827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森特士兴集团股份有限公/中国建筑第八工程局有限公司</w:t>
            </w:r>
          </w:p>
        </w:tc>
      </w:tr>
      <w:tr w:rsidR="00637225" w:rsidRPr="0093704B" w14:paraId="1A7BED20"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30BA2E0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4</w:t>
            </w:r>
          </w:p>
        </w:tc>
        <w:tc>
          <w:tcPr>
            <w:tcW w:w="488" w:type="pct"/>
            <w:tcBorders>
              <w:top w:val="nil"/>
              <w:left w:val="nil"/>
              <w:bottom w:val="single" w:sz="4" w:space="0" w:color="auto"/>
              <w:right w:val="single" w:sz="4" w:space="0" w:color="auto"/>
            </w:tcBorders>
            <w:shd w:val="clear" w:color="auto" w:fill="auto"/>
            <w:vAlign w:val="center"/>
          </w:tcPr>
          <w:p w14:paraId="7183DC30"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昆明</w:t>
            </w:r>
          </w:p>
        </w:tc>
        <w:tc>
          <w:tcPr>
            <w:tcW w:w="1955" w:type="pct"/>
            <w:tcBorders>
              <w:top w:val="nil"/>
              <w:left w:val="nil"/>
              <w:bottom w:val="single" w:sz="4" w:space="0" w:color="auto"/>
              <w:right w:val="single" w:sz="4" w:space="0" w:color="auto"/>
            </w:tcBorders>
            <w:shd w:val="clear" w:color="auto" w:fill="auto"/>
            <w:vAlign w:val="center"/>
          </w:tcPr>
          <w:p w14:paraId="6AA318F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云南省海口工业园区(街道)云龙磷矿矿区修复治理项目EPC总承包</w:t>
            </w:r>
          </w:p>
        </w:tc>
        <w:tc>
          <w:tcPr>
            <w:tcW w:w="607" w:type="pct"/>
            <w:tcBorders>
              <w:top w:val="nil"/>
              <w:left w:val="nil"/>
              <w:bottom w:val="single" w:sz="4" w:space="0" w:color="auto"/>
              <w:right w:val="single" w:sz="4" w:space="0" w:color="auto"/>
            </w:tcBorders>
            <w:shd w:val="clear" w:color="auto" w:fill="auto"/>
            <w:vAlign w:val="center"/>
          </w:tcPr>
          <w:p w14:paraId="0E02B65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3.33</w:t>
            </w:r>
          </w:p>
        </w:tc>
        <w:tc>
          <w:tcPr>
            <w:tcW w:w="1565" w:type="pct"/>
            <w:tcBorders>
              <w:top w:val="nil"/>
              <w:left w:val="nil"/>
              <w:bottom w:val="single" w:sz="4" w:space="0" w:color="auto"/>
              <w:right w:val="single" w:sz="4" w:space="0" w:color="auto"/>
            </w:tcBorders>
            <w:shd w:val="clear" w:color="auto" w:fill="auto"/>
            <w:vAlign w:val="center"/>
          </w:tcPr>
          <w:p w14:paraId="191A214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北京建工环境修复股份有限公司</w:t>
            </w:r>
          </w:p>
        </w:tc>
      </w:tr>
      <w:tr w:rsidR="00637225" w:rsidRPr="0093704B" w14:paraId="078A8E15"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1F44A4E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5</w:t>
            </w:r>
          </w:p>
        </w:tc>
        <w:tc>
          <w:tcPr>
            <w:tcW w:w="488" w:type="pct"/>
            <w:tcBorders>
              <w:top w:val="nil"/>
              <w:left w:val="nil"/>
              <w:bottom w:val="single" w:sz="4" w:space="0" w:color="auto"/>
              <w:right w:val="single" w:sz="4" w:space="0" w:color="auto"/>
            </w:tcBorders>
            <w:shd w:val="clear" w:color="auto" w:fill="auto"/>
            <w:vAlign w:val="center"/>
          </w:tcPr>
          <w:p w14:paraId="2777790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杭州</w:t>
            </w:r>
          </w:p>
        </w:tc>
        <w:tc>
          <w:tcPr>
            <w:tcW w:w="1955" w:type="pct"/>
            <w:tcBorders>
              <w:top w:val="nil"/>
              <w:left w:val="nil"/>
              <w:bottom w:val="single" w:sz="4" w:space="0" w:color="auto"/>
              <w:right w:val="single" w:sz="4" w:space="0" w:color="auto"/>
            </w:tcBorders>
            <w:shd w:val="clear" w:color="auto" w:fill="auto"/>
            <w:vAlign w:val="center"/>
          </w:tcPr>
          <w:p w14:paraId="2D69E69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杭钢单元GS1303-07/08、GS1304-01/02等地块及周边规划道路、地铁杭钢站站体周边区域土壤修复工程</w:t>
            </w:r>
          </w:p>
        </w:tc>
        <w:tc>
          <w:tcPr>
            <w:tcW w:w="607" w:type="pct"/>
            <w:tcBorders>
              <w:top w:val="nil"/>
              <w:left w:val="nil"/>
              <w:bottom w:val="single" w:sz="4" w:space="0" w:color="auto"/>
              <w:right w:val="single" w:sz="4" w:space="0" w:color="auto"/>
            </w:tcBorders>
            <w:shd w:val="clear" w:color="auto" w:fill="auto"/>
            <w:vAlign w:val="center"/>
          </w:tcPr>
          <w:p w14:paraId="52C016C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2.52</w:t>
            </w:r>
          </w:p>
        </w:tc>
        <w:tc>
          <w:tcPr>
            <w:tcW w:w="1565" w:type="pct"/>
            <w:tcBorders>
              <w:top w:val="nil"/>
              <w:left w:val="nil"/>
              <w:bottom w:val="single" w:sz="4" w:space="0" w:color="auto"/>
              <w:right w:val="single" w:sz="4" w:space="0" w:color="auto"/>
            </w:tcBorders>
            <w:shd w:val="clear" w:color="auto" w:fill="auto"/>
            <w:vAlign w:val="center"/>
          </w:tcPr>
          <w:p w14:paraId="2E36CE0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森特士兴集团股份有限公司</w:t>
            </w:r>
          </w:p>
        </w:tc>
      </w:tr>
      <w:tr w:rsidR="00637225" w:rsidRPr="0093704B" w14:paraId="54CE0224"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69795D3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6</w:t>
            </w:r>
          </w:p>
        </w:tc>
        <w:tc>
          <w:tcPr>
            <w:tcW w:w="488" w:type="pct"/>
            <w:tcBorders>
              <w:top w:val="nil"/>
              <w:left w:val="nil"/>
              <w:bottom w:val="single" w:sz="4" w:space="0" w:color="auto"/>
              <w:right w:val="single" w:sz="4" w:space="0" w:color="auto"/>
            </w:tcBorders>
            <w:shd w:val="clear" w:color="auto" w:fill="auto"/>
            <w:vAlign w:val="center"/>
          </w:tcPr>
          <w:p w14:paraId="6FF92F6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杭州</w:t>
            </w:r>
          </w:p>
        </w:tc>
        <w:tc>
          <w:tcPr>
            <w:tcW w:w="1955" w:type="pct"/>
            <w:tcBorders>
              <w:top w:val="nil"/>
              <w:left w:val="nil"/>
              <w:bottom w:val="single" w:sz="4" w:space="0" w:color="auto"/>
              <w:right w:val="single" w:sz="4" w:space="0" w:color="auto"/>
            </w:tcBorders>
            <w:shd w:val="clear" w:color="auto" w:fill="auto"/>
            <w:vAlign w:val="center"/>
          </w:tcPr>
          <w:p w14:paraId="459BDC3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杭钢单元GS1302-02/06/07/13/18/19地块及周边规划道路区域土壤修复工程</w:t>
            </w:r>
          </w:p>
        </w:tc>
        <w:tc>
          <w:tcPr>
            <w:tcW w:w="607" w:type="pct"/>
            <w:tcBorders>
              <w:top w:val="nil"/>
              <w:left w:val="nil"/>
              <w:bottom w:val="single" w:sz="4" w:space="0" w:color="auto"/>
              <w:right w:val="single" w:sz="4" w:space="0" w:color="auto"/>
            </w:tcBorders>
            <w:shd w:val="clear" w:color="auto" w:fill="auto"/>
            <w:vAlign w:val="center"/>
          </w:tcPr>
          <w:p w14:paraId="075B9ED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2.39</w:t>
            </w:r>
          </w:p>
        </w:tc>
        <w:tc>
          <w:tcPr>
            <w:tcW w:w="1565" w:type="pct"/>
            <w:tcBorders>
              <w:top w:val="nil"/>
              <w:left w:val="nil"/>
              <w:bottom w:val="single" w:sz="4" w:space="0" w:color="auto"/>
              <w:right w:val="single" w:sz="4" w:space="0" w:color="auto"/>
            </w:tcBorders>
            <w:shd w:val="clear" w:color="auto" w:fill="auto"/>
            <w:vAlign w:val="center"/>
          </w:tcPr>
          <w:p w14:paraId="60E88F4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中冶南方</w:t>
            </w:r>
            <w:proofErr w:type="gramEnd"/>
            <w:r w:rsidRPr="0093704B">
              <w:rPr>
                <w:rFonts w:asciiTheme="minorEastAsia" w:eastAsiaTheme="minorEastAsia" w:hAnsiTheme="minorEastAsia" w:cs="宋体" w:hint="eastAsia"/>
                <w:kern w:val="0"/>
                <w:sz w:val="20"/>
                <w:szCs w:val="20"/>
              </w:rPr>
              <w:t>都市环保工程技术股份有限公司</w:t>
            </w:r>
          </w:p>
        </w:tc>
      </w:tr>
      <w:tr w:rsidR="00637225" w:rsidRPr="0093704B" w14:paraId="2E4C63F8"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7E350D5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7</w:t>
            </w:r>
          </w:p>
        </w:tc>
        <w:tc>
          <w:tcPr>
            <w:tcW w:w="488" w:type="pct"/>
            <w:tcBorders>
              <w:top w:val="nil"/>
              <w:left w:val="nil"/>
              <w:bottom w:val="single" w:sz="4" w:space="0" w:color="auto"/>
              <w:right w:val="single" w:sz="4" w:space="0" w:color="auto"/>
            </w:tcBorders>
            <w:shd w:val="clear" w:color="auto" w:fill="auto"/>
            <w:vAlign w:val="center"/>
          </w:tcPr>
          <w:p w14:paraId="544EDDB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合肥</w:t>
            </w:r>
          </w:p>
        </w:tc>
        <w:tc>
          <w:tcPr>
            <w:tcW w:w="1955" w:type="pct"/>
            <w:tcBorders>
              <w:top w:val="nil"/>
              <w:left w:val="nil"/>
              <w:bottom w:val="single" w:sz="4" w:space="0" w:color="auto"/>
              <w:right w:val="single" w:sz="4" w:space="0" w:color="auto"/>
            </w:tcBorders>
            <w:shd w:val="clear" w:color="auto" w:fill="auto"/>
            <w:vAlign w:val="center"/>
          </w:tcPr>
          <w:p w14:paraId="709D689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原马钢(合肥)地块MHD01、MHD02、MHD03(地铁6号线站点、东南及铁路专用线、西北)片区污染土壤修复工程第2包</w:t>
            </w:r>
          </w:p>
        </w:tc>
        <w:tc>
          <w:tcPr>
            <w:tcW w:w="607" w:type="pct"/>
            <w:tcBorders>
              <w:top w:val="nil"/>
              <w:left w:val="nil"/>
              <w:bottom w:val="single" w:sz="4" w:space="0" w:color="auto"/>
              <w:right w:val="single" w:sz="4" w:space="0" w:color="auto"/>
            </w:tcBorders>
            <w:shd w:val="clear" w:color="auto" w:fill="auto"/>
            <w:vAlign w:val="center"/>
          </w:tcPr>
          <w:p w14:paraId="61C3176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2.25</w:t>
            </w:r>
          </w:p>
        </w:tc>
        <w:tc>
          <w:tcPr>
            <w:tcW w:w="1565" w:type="pct"/>
            <w:tcBorders>
              <w:top w:val="nil"/>
              <w:left w:val="nil"/>
              <w:bottom w:val="single" w:sz="4" w:space="0" w:color="auto"/>
              <w:right w:val="single" w:sz="4" w:space="0" w:color="auto"/>
            </w:tcBorders>
            <w:shd w:val="clear" w:color="auto" w:fill="auto"/>
            <w:vAlign w:val="center"/>
          </w:tcPr>
          <w:p w14:paraId="1466295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北京建工环境修复股份有限公司/安徽古皖路桥工程有限公司</w:t>
            </w:r>
          </w:p>
        </w:tc>
      </w:tr>
      <w:tr w:rsidR="00637225" w:rsidRPr="0093704B" w14:paraId="55DE14F1"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43A3DC8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8</w:t>
            </w:r>
          </w:p>
        </w:tc>
        <w:tc>
          <w:tcPr>
            <w:tcW w:w="488" w:type="pct"/>
            <w:tcBorders>
              <w:top w:val="nil"/>
              <w:left w:val="nil"/>
              <w:bottom w:val="single" w:sz="4" w:space="0" w:color="auto"/>
              <w:right w:val="single" w:sz="4" w:space="0" w:color="auto"/>
            </w:tcBorders>
            <w:shd w:val="clear" w:color="auto" w:fill="auto"/>
            <w:vAlign w:val="center"/>
          </w:tcPr>
          <w:p w14:paraId="004F690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nil"/>
              <w:left w:val="nil"/>
              <w:bottom w:val="single" w:sz="4" w:space="0" w:color="auto"/>
              <w:right w:val="single" w:sz="4" w:space="0" w:color="auto"/>
            </w:tcBorders>
            <w:shd w:val="clear" w:color="auto" w:fill="auto"/>
            <w:vAlign w:val="center"/>
          </w:tcPr>
          <w:p w14:paraId="017C15E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重钢炼铁厂原址场地污染土壤治理修复项目设计及施工</w:t>
            </w:r>
          </w:p>
        </w:tc>
        <w:tc>
          <w:tcPr>
            <w:tcW w:w="607" w:type="pct"/>
            <w:tcBorders>
              <w:top w:val="nil"/>
              <w:left w:val="nil"/>
              <w:bottom w:val="single" w:sz="4" w:space="0" w:color="auto"/>
              <w:right w:val="single" w:sz="4" w:space="0" w:color="auto"/>
            </w:tcBorders>
            <w:shd w:val="clear" w:color="auto" w:fill="auto"/>
            <w:vAlign w:val="center"/>
          </w:tcPr>
          <w:p w14:paraId="1061A7F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2.18</w:t>
            </w:r>
          </w:p>
        </w:tc>
        <w:tc>
          <w:tcPr>
            <w:tcW w:w="1565" w:type="pct"/>
            <w:tcBorders>
              <w:top w:val="nil"/>
              <w:left w:val="nil"/>
              <w:bottom w:val="single" w:sz="4" w:space="0" w:color="auto"/>
              <w:right w:val="single" w:sz="4" w:space="0" w:color="auto"/>
            </w:tcBorders>
            <w:shd w:val="clear" w:color="auto" w:fill="auto"/>
            <w:vAlign w:val="center"/>
          </w:tcPr>
          <w:p w14:paraId="0D74D36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煜环环境</w:t>
            </w:r>
            <w:proofErr w:type="gramEnd"/>
            <w:r w:rsidRPr="0093704B">
              <w:rPr>
                <w:rFonts w:asciiTheme="minorEastAsia" w:eastAsiaTheme="minorEastAsia" w:hAnsiTheme="minorEastAsia" w:cs="宋体" w:hint="eastAsia"/>
                <w:kern w:val="0"/>
                <w:sz w:val="20"/>
                <w:szCs w:val="20"/>
              </w:rPr>
              <w:t>科技有限公司/中国市政工程西北设计研究院有限公司</w:t>
            </w:r>
          </w:p>
        </w:tc>
      </w:tr>
      <w:tr w:rsidR="00637225" w:rsidRPr="0093704B" w14:paraId="59D71AAB" w14:textId="77777777" w:rsidTr="0093704B">
        <w:trPr>
          <w:trHeight w:val="284"/>
        </w:trPr>
        <w:tc>
          <w:tcPr>
            <w:tcW w:w="386" w:type="pct"/>
            <w:tcBorders>
              <w:top w:val="nil"/>
              <w:left w:val="single" w:sz="4" w:space="0" w:color="auto"/>
              <w:bottom w:val="single" w:sz="4" w:space="0" w:color="auto"/>
              <w:right w:val="single" w:sz="4" w:space="0" w:color="auto"/>
            </w:tcBorders>
            <w:shd w:val="clear" w:color="auto" w:fill="auto"/>
            <w:vAlign w:val="center"/>
          </w:tcPr>
          <w:p w14:paraId="43D6402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9</w:t>
            </w:r>
          </w:p>
        </w:tc>
        <w:tc>
          <w:tcPr>
            <w:tcW w:w="488" w:type="pct"/>
            <w:tcBorders>
              <w:top w:val="nil"/>
              <w:left w:val="nil"/>
              <w:bottom w:val="single" w:sz="4" w:space="0" w:color="auto"/>
              <w:right w:val="single" w:sz="4" w:space="0" w:color="auto"/>
            </w:tcBorders>
            <w:shd w:val="clear" w:color="auto" w:fill="auto"/>
            <w:vAlign w:val="center"/>
          </w:tcPr>
          <w:p w14:paraId="0D6934B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nil"/>
              <w:left w:val="nil"/>
              <w:bottom w:val="single" w:sz="4" w:space="0" w:color="auto"/>
              <w:right w:val="single" w:sz="4" w:space="0" w:color="auto"/>
            </w:tcBorders>
            <w:shd w:val="clear" w:color="auto" w:fill="auto"/>
            <w:vAlign w:val="center"/>
          </w:tcPr>
          <w:p w14:paraId="18187B6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重钢烧结厂原址场地污染土壤治理修复项目设计及施工1标段</w:t>
            </w:r>
          </w:p>
        </w:tc>
        <w:tc>
          <w:tcPr>
            <w:tcW w:w="607" w:type="pct"/>
            <w:tcBorders>
              <w:top w:val="nil"/>
              <w:left w:val="nil"/>
              <w:bottom w:val="single" w:sz="4" w:space="0" w:color="auto"/>
              <w:right w:val="single" w:sz="4" w:space="0" w:color="auto"/>
            </w:tcBorders>
            <w:shd w:val="clear" w:color="auto" w:fill="auto"/>
            <w:vAlign w:val="center"/>
          </w:tcPr>
          <w:p w14:paraId="7E429187"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2.07</w:t>
            </w:r>
          </w:p>
        </w:tc>
        <w:tc>
          <w:tcPr>
            <w:tcW w:w="1565" w:type="pct"/>
            <w:tcBorders>
              <w:top w:val="nil"/>
              <w:left w:val="nil"/>
              <w:bottom w:val="single" w:sz="4" w:space="0" w:color="auto"/>
              <w:right w:val="single" w:sz="4" w:space="0" w:color="auto"/>
            </w:tcBorders>
            <w:shd w:val="clear" w:color="auto" w:fill="auto"/>
            <w:vAlign w:val="center"/>
          </w:tcPr>
          <w:p w14:paraId="5AD5DEF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北京高能时代环境技术股份有限公司</w:t>
            </w:r>
          </w:p>
        </w:tc>
      </w:tr>
      <w:tr w:rsidR="00637225" w:rsidRPr="0093704B" w14:paraId="2624A944"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C26FEC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F088D9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362C419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重钢烧结厂原址场地污染土壤治理修复项目设计及施工2标段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ADCAA4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2.03</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E7E162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上海格林曼环境技术有限公司/中国电建集团华东勘测设计研究院有限公司</w:t>
            </w:r>
          </w:p>
        </w:tc>
      </w:tr>
      <w:tr w:rsidR="00637225" w:rsidRPr="0093704B" w14:paraId="54B51E52"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77E5A0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550FE4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常州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3F38096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常州市东方化工有限公司原厂址地块污染土壤修复工程施工</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3CD174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1.98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4E02990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常州</w:t>
            </w:r>
            <w:proofErr w:type="gramStart"/>
            <w:r w:rsidRPr="0093704B">
              <w:rPr>
                <w:rFonts w:asciiTheme="minorEastAsia" w:eastAsiaTheme="minorEastAsia" w:hAnsiTheme="minorEastAsia" w:cs="宋体" w:hint="eastAsia"/>
                <w:kern w:val="0"/>
                <w:sz w:val="20"/>
                <w:szCs w:val="20"/>
              </w:rPr>
              <w:t>卓正环境</w:t>
            </w:r>
            <w:proofErr w:type="gramEnd"/>
            <w:r w:rsidRPr="0093704B">
              <w:rPr>
                <w:rFonts w:asciiTheme="minorEastAsia" w:eastAsiaTheme="minorEastAsia" w:hAnsiTheme="minorEastAsia" w:cs="宋体" w:hint="eastAsia"/>
                <w:kern w:val="0"/>
                <w:sz w:val="20"/>
                <w:szCs w:val="20"/>
              </w:rPr>
              <w:t>科技有限公司</w:t>
            </w:r>
          </w:p>
        </w:tc>
      </w:tr>
      <w:tr w:rsidR="00637225" w:rsidRPr="0093704B" w14:paraId="750974FA"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35910E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AEA0A9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青岛</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0FA618A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莱西市东方化工厂区污染修复项目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20D976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1.90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E768CE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北京建工环境修复股份有限公司</w:t>
            </w:r>
          </w:p>
        </w:tc>
      </w:tr>
      <w:tr w:rsidR="00637225" w:rsidRPr="0093704B" w14:paraId="5BA0B901" w14:textId="77777777" w:rsidTr="0093704B">
        <w:trPr>
          <w:trHeight w:val="90"/>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6D997F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4A72C4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青岛</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7C5B7CC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市北区四流南路66号原海晶化工厂E、F地块土壤修复项目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CCFEE2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1.85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FF16AF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修复有限公司/青岛凯利华工程有限公</w:t>
            </w:r>
            <w:r w:rsidRPr="0093704B">
              <w:rPr>
                <w:rFonts w:asciiTheme="minorEastAsia" w:eastAsiaTheme="minorEastAsia" w:hAnsiTheme="minorEastAsia" w:cs="宋体" w:hint="eastAsia"/>
                <w:kern w:val="0"/>
                <w:sz w:val="20"/>
                <w:szCs w:val="20"/>
              </w:rPr>
              <w:lastRenderedPageBreak/>
              <w:t>司</w:t>
            </w:r>
          </w:p>
        </w:tc>
      </w:tr>
      <w:tr w:rsidR="00637225" w:rsidRPr="0093704B" w14:paraId="602BD009"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E6353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lastRenderedPageBreak/>
              <w:t>14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D93DD8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合肥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2CA7B6B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合肥市龙泉山生活垃圾填埋场生态修复项目第二标段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918E5B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1.85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B308A0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中铁四局集团有限公司/北京高能时代环境技术股份有限公司</w:t>
            </w:r>
          </w:p>
        </w:tc>
      </w:tr>
      <w:tr w:rsidR="00637225" w:rsidRPr="0093704B" w14:paraId="3CE7E589"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BD8CA8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6DE6E0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天津武清</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6E305D0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英力公司</w:t>
            </w:r>
            <w:proofErr w:type="gramEnd"/>
            <w:r w:rsidRPr="0093704B">
              <w:rPr>
                <w:rFonts w:asciiTheme="minorEastAsia" w:eastAsiaTheme="minorEastAsia" w:hAnsiTheme="minorEastAsia" w:cs="宋体" w:hint="eastAsia"/>
                <w:kern w:val="0"/>
                <w:sz w:val="20"/>
                <w:szCs w:val="20"/>
              </w:rPr>
              <w:t>地块污染土壤与地下水修复项目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06DEF3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1.84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47F262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天津华勘环保科技有限公司/中石化第五建设有限公司/</w:t>
            </w:r>
            <w:proofErr w:type="gramStart"/>
            <w:r w:rsidRPr="0093704B">
              <w:rPr>
                <w:rFonts w:asciiTheme="minorEastAsia" w:eastAsiaTheme="minorEastAsia" w:hAnsiTheme="minorEastAsia" w:cs="宋体" w:hint="eastAsia"/>
                <w:kern w:val="0"/>
                <w:sz w:val="20"/>
                <w:szCs w:val="20"/>
              </w:rPr>
              <w:t>中冶南方</w:t>
            </w:r>
            <w:proofErr w:type="gramEnd"/>
            <w:r w:rsidRPr="0093704B">
              <w:rPr>
                <w:rFonts w:asciiTheme="minorEastAsia" w:eastAsiaTheme="minorEastAsia" w:hAnsiTheme="minorEastAsia" w:cs="宋体" w:hint="eastAsia"/>
                <w:kern w:val="0"/>
                <w:sz w:val="20"/>
                <w:szCs w:val="20"/>
              </w:rPr>
              <w:t>都市环保工程技术股份有限公司</w:t>
            </w:r>
          </w:p>
        </w:tc>
      </w:tr>
      <w:tr w:rsidR="00637225" w:rsidRPr="0093704B" w14:paraId="4654F979"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75D8F2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16</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B4A024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中山</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7146CE6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中山市东区起湾北道142号之五至七地块污染土壤及地下水修复项目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4688F5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1.76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7A4F113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北京建工环境修复股份有限公司</w:t>
            </w:r>
          </w:p>
        </w:tc>
      </w:tr>
      <w:tr w:rsidR="00637225" w:rsidRPr="0093704B" w14:paraId="584C9AF6"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4F3664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8A8A5E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合肥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08F0D05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原马钢(合肥)地块MHD01、MHD02、MHD03(地铁6号线站点、东南及铁路专用线、西北)片区污染土壤修复工程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975F33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1.74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CFFB19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w:t>
            </w:r>
          </w:p>
        </w:tc>
      </w:tr>
      <w:tr w:rsidR="00637225" w:rsidRPr="0093704B" w14:paraId="3DA90C6B"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DE1B68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724D0E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南京</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4A6F290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贾东村地块（</w:t>
            </w:r>
            <w:proofErr w:type="gramStart"/>
            <w:r w:rsidRPr="0093704B">
              <w:rPr>
                <w:rFonts w:asciiTheme="minorEastAsia" w:eastAsiaTheme="minorEastAsia" w:hAnsiTheme="minorEastAsia" w:cs="宋体" w:hint="eastAsia"/>
                <w:kern w:val="0"/>
                <w:sz w:val="20"/>
                <w:szCs w:val="20"/>
              </w:rPr>
              <w:t>龙翔路以南</w:t>
            </w:r>
            <w:proofErr w:type="gramEnd"/>
            <w:r w:rsidRPr="0093704B">
              <w:rPr>
                <w:rFonts w:asciiTheme="minorEastAsia" w:eastAsiaTheme="minorEastAsia" w:hAnsiTheme="minorEastAsia" w:cs="宋体" w:hint="eastAsia"/>
                <w:kern w:val="0"/>
                <w:sz w:val="20"/>
                <w:szCs w:val="20"/>
              </w:rPr>
              <w:t>原南京梅化精细化工有限公司等企业地块）环境整治工程工程总承包</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585B5B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1.52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59985A7"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江苏省环科</w:t>
            </w:r>
            <w:proofErr w:type="gramStart"/>
            <w:r w:rsidRPr="0093704B">
              <w:rPr>
                <w:rFonts w:asciiTheme="minorEastAsia" w:eastAsiaTheme="minorEastAsia" w:hAnsiTheme="minorEastAsia" w:cs="宋体" w:hint="eastAsia"/>
                <w:kern w:val="0"/>
                <w:sz w:val="20"/>
                <w:szCs w:val="20"/>
              </w:rPr>
              <w:t>院环境</w:t>
            </w:r>
            <w:proofErr w:type="gramEnd"/>
            <w:r w:rsidRPr="0093704B">
              <w:rPr>
                <w:rFonts w:asciiTheme="minorEastAsia" w:eastAsiaTheme="minorEastAsia" w:hAnsiTheme="minorEastAsia" w:cs="宋体" w:hint="eastAsia"/>
                <w:kern w:val="0"/>
                <w:sz w:val="20"/>
                <w:szCs w:val="20"/>
              </w:rPr>
              <w:t>科技有限责任公司/江苏苏美达成套设备工程有限公司</w:t>
            </w:r>
          </w:p>
        </w:tc>
      </w:tr>
      <w:tr w:rsidR="00637225" w:rsidRPr="0093704B" w14:paraId="7CFCF17B"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94E39E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19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910A610"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青岛</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3EBFAEC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开封路</w:t>
            </w:r>
            <w:proofErr w:type="gramEnd"/>
            <w:r w:rsidRPr="0093704B">
              <w:rPr>
                <w:rFonts w:asciiTheme="minorEastAsia" w:eastAsiaTheme="minorEastAsia" w:hAnsiTheme="minorEastAsia" w:cs="宋体" w:hint="eastAsia"/>
                <w:kern w:val="0"/>
                <w:sz w:val="20"/>
                <w:szCs w:val="20"/>
              </w:rPr>
              <w:t>23号地块（原东风化工地块）土壤修复项目（工程总承包）1标段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AA0982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1.44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DFAE3A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修复有限公司/青岛凯利华工程有限公司</w:t>
            </w:r>
          </w:p>
        </w:tc>
      </w:tr>
      <w:tr w:rsidR="00637225" w:rsidRPr="0093704B" w14:paraId="004E88B9"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EC8FE2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FCA415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北京通州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1D3931B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北神树垃圾卫生填埋场生态修复试点项目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6344F0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1.41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FC7D54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北京市市政</w:t>
            </w:r>
            <w:proofErr w:type="gramStart"/>
            <w:r w:rsidRPr="0093704B">
              <w:rPr>
                <w:rFonts w:asciiTheme="minorEastAsia" w:eastAsiaTheme="minorEastAsia" w:hAnsiTheme="minorEastAsia" w:cs="宋体" w:hint="eastAsia"/>
                <w:kern w:val="0"/>
                <w:sz w:val="20"/>
                <w:szCs w:val="20"/>
              </w:rPr>
              <w:t>四建设</w:t>
            </w:r>
            <w:proofErr w:type="gramEnd"/>
            <w:r w:rsidRPr="0093704B">
              <w:rPr>
                <w:rFonts w:asciiTheme="minorEastAsia" w:eastAsiaTheme="minorEastAsia" w:hAnsiTheme="minorEastAsia" w:cs="宋体" w:hint="eastAsia"/>
                <w:kern w:val="0"/>
                <w:sz w:val="20"/>
                <w:szCs w:val="20"/>
              </w:rPr>
              <w:t>工程有限责任公司</w:t>
            </w:r>
          </w:p>
        </w:tc>
      </w:tr>
      <w:tr w:rsidR="00637225" w:rsidRPr="0093704B" w14:paraId="15B76B9E"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FDFD8F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992E7E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大兴</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03D65F6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B1地块及异位处置区修复工程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217DDB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1.31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78A2B99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中节能大地（杭州）环境修复有限公司</w:t>
            </w:r>
          </w:p>
        </w:tc>
      </w:tr>
      <w:tr w:rsidR="00637225" w:rsidRPr="0093704B" w14:paraId="709596E9"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8A84D10"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BA12F4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合肥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619FE08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proofErr w:type="gramStart"/>
            <w:r w:rsidRPr="0093704B">
              <w:rPr>
                <w:rFonts w:asciiTheme="minorEastAsia" w:eastAsiaTheme="minorEastAsia" w:hAnsiTheme="minorEastAsia" w:cs="宋体" w:hint="eastAsia"/>
                <w:kern w:val="0"/>
                <w:sz w:val="20"/>
                <w:szCs w:val="20"/>
              </w:rPr>
              <w:t>庐南矿山</w:t>
            </w:r>
            <w:proofErr w:type="gramEnd"/>
            <w:r w:rsidRPr="0093704B">
              <w:rPr>
                <w:rFonts w:asciiTheme="minorEastAsia" w:eastAsiaTheme="minorEastAsia" w:hAnsiTheme="minorEastAsia" w:cs="宋体" w:hint="eastAsia"/>
                <w:kern w:val="0"/>
                <w:sz w:val="20"/>
                <w:szCs w:val="20"/>
              </w:rPr>
              <w:t>生态修复工程项目—垃圾填埋</w:t>
            </w:r>
            <w:proofErr w:type="gramStart"/>
            <w:r w:rsidRPr="0093704B">
              <w:rPr>
                <w:rFonts w:asciiTheme="minorEastAsia" w:eastAsiaTheme="minorEastAsia" w:hAnsiTheme="minorEastAsia" w:cs="宋体" w:hint="eastAsia"/>
                <w:kern w:val="0"/>
                <w:sz w:val="20"/>
                <w:szCs w:val="20"/>
              </w:rPr>
              <w:t>场治理</w:t>
            </w:r>
            <w:proofErr w:type="gramEnd"/>
            <w:r w:rsidRPr="0093704B">
              <w:rPr>
                <w:rFonts w:asciiTheme="minorEastAsia" w:eastAsiaTheme="minorEastAsia" w:hAnsiTheme="minorEastAsia" w:cs="宋体" w:hint="eastAsia"/>
                <w:kern w:val="0"/>
                <w:sz w:val="20"/>
                <w:szCs w:val="20"/>
              </w:rPr>
              <w:t>区域生态修复工程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D749EA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1.29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DF7A585"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北京高能时代环境技术股份有限公司</w:t>
            </w:r>
          </w:p>
        </w:tc>
      </w:tr>
      <w:tr w:rsidR="00637225" w:rsidRPr="0093704B" w14:paraId="31406DEF"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5CB604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63A6D5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1A80CC97"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杭钢单元GS1302-04/14/15/26地块及周边规划道路区域土壤修复工程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A35829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1.22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1E09EF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广西博世科环保科技股份有限公司</w:t>
            </w:r>
          </w:p>
        </w:tc>
      </w:tr>
      <w:tr w:rsidR="00637225" w:rsidRPr="0093704B" w14:paraId="5186288D"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FC646B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4947D2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0F9124D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重庆市九龙坡区大杨石组团K标准分区地块及道路污染土壤治理修复项目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E40363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1.21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06D709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重庆昆顶环保科技有限公司/中环国投（重庆）环保产业开发有限公司</w:t>
            </w:r>
          </w:p>
        </w:tc>
      </w:tr>
      <w:tr w:rsidR="00637225" w:rsidRPr="0093704B" w14:paraId="419DDEEE"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2CE8A2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897E23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泰州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25CD900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原江苏瑞和化肥有限公司固体废物堆填应急处置项目</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A1C0E2D"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1.19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0158AAD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航天</w:t>
            </w:r>
            <w:proofErr w:type="gramStart"/>
            <w:r w:rsidRPr="0093704B">
              <w:rPr>
                <w:rFonts w:asciiTheme="minorEastAsia" w:eastAsiaTheme="minorEastAsia" w:hAnsiTheme="minorEastAsia" w:cs="宋体" w:hint="eastAsia"/>
                <w:kern w:val="0"/>
                <w:sz w:val="20"/>
                <w:szCs w:val="20"/>
              </w:rPr>
              <w:t>凯</w:t>
            </w:r>
            <w:proofErr w:type="gramEnd"/>
            <w:r w:rsidRPr="0093704B">
              <w:rPr>
                <w:rFonts w:asciiTheme="minorEastAsia" w:eastAsiaTheme="minorEastAsia" w:hAnsiTheme="minorEastAsia" w:cs="宋体" w:hint="eastAsia"/>
                <w:kern w:val="0"/>
                <w:sz w:val="20"/>
                <w:szCs w:val="20"/>
              </w:rPr>
              <w:t>天环保科技股份有限公司/江苏省环科</w:t>
            </w:r>
            <w:proofErr w:type="gramStart"/>
            <w:r w:rsidRPr="0093704B">
              <w:rPr>
                <w:rFonts w:asciiTheme="minorEastAsia" w:eastAsiaTheme="minorEastAsia" w:hAnsiTheme="minorEastAsia" w:cs="宋体" w:hint="eastAsia"/>
                <w:kern w:val="0"/>
                <w:sz w:val="20"/>
                <w:szCs w:val="20"/>
              </w:rPr>
              <w:t>院环境</w:t>
            </w:r>
            <w:proofErr w:type="gramEnd"/>
            <w:r w:rsidRPr="0093704B">
              <w:rPr>
                <w:rFonts w:asciiTheme="minorEastAsia" w:eastAsiaTheme="minorEastAsia" w:hAnsiTheme="minorEastAsia" w:cs="宋体" w:hint="eastAsia"/>
                <w:kern w:val="0"/>
                <w:sz w:val="20"/>
                <w:szCs w:val="20"/>
              </w:rPr>
              <w:t>科技</w:t>
            </w:r>
            <w:r w:rsidRPr="0093704B">
              <w:rPr>
                <w:rFonts w:asciiTheme="minorEastAsia" w:eastAsiaTheme="minorEastAsia" w:hAnsiTheme="minorEastAsia" w:cs="宋体" w:hint="eastAsia"/>
                <w:kern w:val="0"/>
                <w:sz w:val="20"/>
                <w:szCs w:val="20"/>
              </w:rPr>
              <w:lastRenderedPageBreak/>
              <w:t>有限责任公司</w:t>
            </w:r>
          </w:p>
        </w:tc>
      </w:tr>
      <w:tr w:rsidR="00637225" w:rsidRPr="0093704B" w14:paraId="60569955"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7E237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lastRenderedPageBreak/>
              <w:t>26</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22414E0"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大连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1D41C47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大连地铁4号线一期工程梭鱼</w:t>
            </w:r>
            <w:proofErr w:type="gramStart"/>
            <w:r w:rsidRPr="0093704B">
              <w:rPr>
                <w:rFonts w:asciiTheme="minorEastAsia" w:eastAsiaTheme="minorEastAsia" w:hAnsiTheme="minorEastAsia" w:cs="宋体" w:hint="eastAsia"/>
                <w:kern w:val="0"/>
                <w:sz w:val="20"/>
                <w:szCs w:val="20"/>
              </w:rPr>
              <w:t>湾施工</w:t>
            </w:r>
            <w:proofErr w:type="gramEnd"/>
            <w:r w:rsidRPr="0093704B">
              <w:rPr>
                <w:rFonts w:asciiTheme="minorEastAsia" w:eastAsiaTheme="minorEastAsia" w:hAnsiTheme="minorEastAsia" w:cs="宋体" w:hint="eastAsia"/>
                <w:kern w:val="0"/>
                <w:sz w:val="20"/>
                <w:szCs w:val="20"/>
              </w:rPr>
              <w:t>区域污染土修复治理施工</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F1BFDE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1.14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6FE9330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北京高能时代环境技术股份有限公司</w:t>
            </w:r>
          </w:p>
        </w:tc>
      </w:tr>
      <w:tr w:rsidR="00637225" w:rsidRPr="0093704B" w14:paraId="206ECE80" w14:textId="77777777" w:rsidTr="0093704B">
        <w:trPr>
          <w:trHeight w:val="949"/>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5454856"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DF5121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3DC4BA9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重庆机床（集团）有限责任公司原址场地治理修复项目(EPC)</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F3683B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1.09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96846B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修复有限公司/苏交科集团股份有限公司</w:t>
            </w:r>
          </w:p>
        </w:tc>
      </w:tr>
      <w:tr w:rsidR="00637225" w:rsidRPr="0093704B" w14:paraId="22E909F1"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5F4D86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D1F6B7F"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无锡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296BACD2"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白石山环境综合整治项目(EPC)</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2D1CB48"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 xml:space="preserve">1.07 </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65705E9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修复有限公司、江苏省环科</w:t>
            </w:r>
            <w:proofErr w:type="gramStart"/>
            <w:r w:rsidRPr="0093704B">
              <w:rPr>
                <w:rFonts w:asciiTheme="minorEastAsia" w:eastAsiaTheme="minorEastAsia" w:hAnsiTheme="minorEastAsia" w:cs="宋体" w:hint="eastAsia"/>
                <w:kern w:val="0"/>
                <w:sz w:val="20"/>
                <w:szCs w:val="20"/>
              </w:rPr>
              <w:t>院环境</w:t>
            </w:r>
            <w:proofErr w:type="gramEnd"/>
            <w:r w:rsidRPr="0093704B">
              <w:rPr>
                <w:rFonts w:asciiTheme="minorEastAsia" w:eastAsiaTheme="minorEastAsia" w:hAnsiTheme="minorEastAsia" w:cs="宋体" w:hint="eastAsia"/>
                <w:kern w:val="0"/>
                <w:sz w:val="20"/>
                <w:szCs w:val="20"/>
              </w:rPr>
              <w:t>科技有限责任公司</w:t>
            </w:r>
          </w:p>
        </w:tc>
      </w:tr>
      <w:tr w:rsidR="00637225" w:rsidRPr="0093704B" w14:paraId="649822DC"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12F228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29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84CE69E"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6938171C"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重钢高速线材厂原址场地污染土壤治理修复项目设计及施工</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7DB739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0.90</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8EE9A0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江苏</w:t>
            </w:r>
            <w:proofErr w:type="gramStart"/>
            <w:r w:rsidRPr="0093704B">
              <w:rPr>
                <w:rFonts w:asciiTheme="minorEastAsia" w:eastAsiaTheme="minorEastAsia" w:hAnsiTheme="minorEastAsia" w:cs="宋体" w:hint="eastAsia"/>
                <w:kern w:val="0"/>
                <w:sz w:val="20"/>
                <w:szCs w:val="20"/>
              </w:rPr>
              <w:t>大地益源环境</w:t>
            </w:r>
            <w:proofErr w:type="gramEnd"/>
            <w:r w:rsidRPr="0093704B">
              <w:rPr>
                <w:rFonts w:asciiTheme="minorEastAsia" w:eastAsiaTheme="minorEastAsia" w:hAnsiTheme="minorEastAsia" w:cs="宋体" w:hint="eastAsia"/>
                <w:kern w:val="0"/>
                <w:sz w:val="20"/>
                <w:szCs w:val="20"/>
              </w:rPr>
              <w:t>修复有限公司</w:t>
            </w:r>
          </w:p>
        </w:tc>
      </w:tr>
      <w:tr w:rsidR="00637225" w:rsidRPr="0093704B" w14:paraId="247FB722"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B7E38B9"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452F32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2D466F1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杭钢单元GS1301-05/09、GS1302-05地块及周边规划道路区域土壤修复工程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21FA1A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0.89</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288C87A"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森特士兴集团股份有限公司</w:t>
            </w:r>
          </w:p>
        </w:tc>
      </w:tr>
      <w:tr w:rsidR="00637225" w:rsidRPr="0093704B" w14:paraId="77E7AB4B" w14:textId="77777777" w:rsidTr="0093704B">
        <w:trPr>
          <w:trHeight w:val="284"/>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2A1506B"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31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196F423"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杭州</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14:paraId="67209F54"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杭钢单元GS1302-03/08/11/12地块及周边规划道路区域土壤修复工程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98D57B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0.57</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6E6A1D01" w14:textId="77777777" w:rsidR="00637225" w:rsidRPr="0093704B" w:rsidRDefault="00286D31" w:rsidP="006013E0">
            <w:pPr>
              <w:widowControl/>
              <w:snapToGrid w:val="0"/>
              <w:spacing w:line="360" w:lineRule="auto"/>
              <w:jc w:val="center"/>
              <w:rPr>
                <w:rFonts w:asciiTheme="minorEastAsia" w:eastAsiaTheme="minorEastAsia" w:hAnsiTheme="minorEastAsia" w:cs="宋体"/>
                <w:kern w:val="0"/>
                <w:sz w:val="20"/>
                <w:szCs w:val="20"/>
              </w:rPr>
            </w:pPr>
            <w:r w:rsidRPr="0093704B">
              <w:rPr>
                <w:rFonts w:asciiTheme="minorEastAsia" w:eastAsiaTheme="minorEastAsia" w:hAnsiTheme="minorEastAsia" w:cs="宋体" w:hint="eastAsia"/>
                <w:kern w:val="0"/>
                <w:sz w:val="20"/>
                <w:szCs w:val="20"/>
              </w:rPr>
              <w:t>浙江卓锦环保科技股份有限公司</w:t>
            </w:r>
          </w:p>
        </w:tc>
      </w:tr>
    </w:tbl>
    <w:p w14:paraId="4BE29EC5" w14:textId="77777777" w:rsidR="00637225" w:rsidRDefault="00637225" w:rsidP="006013E0">
      <w:pPr>
        <w:snapToGrid w:val="0"/>
        <w:spacing w:line="360" w:lineRule="auto"/>
      </w:pPr>
    </w:p>
    <w:sectPr w:rsidR="00637225">
      <w:footerReference w:type="default" r:id="rId24"/>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FA20" w14:textId="77777777" w:rsidR="001A680D" w:rsidRDefault="001A680D">
      <w:r>
        <w:separator/>
      </w:r>
    </w:p>
  </w:endnote>
  <w:endnote w:type="continuationSeparator" w:id="0">
    <w:p w14:paraId="35084FDB" w14:textId="77777777" w:rsidR="001A680D" w:rsidRDefault="001A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70435"/>
    </w:sdtPr>
    <w:sdtEndPr/>
    <w:sdtContent>
      <w:p w14:paraId="3881E75E" w14:textId="77777777" w:rsidR="00637225" w:rsidRDefault="00286D31">
        <w:pPr>
          <w:pStyle w:val="a6"/>
          <w:jc w:val="center"/>
        </w:pPr>
        <w:r>
          <w:fldChar w:fldCharType="begin"/>
        </w:r>
        <w:r>
          <w:instrText xml:space="preserve"> PAGE   \* MERGEFORMAT </w:instrText>
        </w:r>
        <w:r>
          <w:fldChar w:fldCharType="separate"/>
        </w:r>
        <w:r>
          <w:rPr>
            <w:lang w:val="zh-CN"/>
          </w:rPr>
          <w:t>19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BFCE" w14:textId="77777777" w:rsidR="001A680D" w:rsidRDefault="001A680D">
      <w:r>
        <w:separator/>
      </w:r>
    </w:p>
  </w:footnote>
  <w:footnote w:type="continuationSeparator" w:id="0">
    <w:p w14:paraId="7EBC41B5" w14:textId="77777777" w:rsidR="001A680D" w:rsidRDefault="001A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E0375"/>
    <w:multiLevelType w:val="multilevel"/>
    <w:tmpl w:val="5CCE0375"/>
    <w:lvl w:ilvl="0">
      <w:start w:val="1"/>
      <w:numFmt w:val="decimal"/>
      <w:lvlText w:val="%1"/>
      <w:lvlJc w:val="left"/>
      <w:pPr>
        <w:tabs>
          <w:tab w:val="left" w:pos="360"/>
        </w:tabs>
        <w:ind w:left="0" w:firstLine="0"/>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tabs>
          <w:tab w:val="left" w:pos="0"/>
        </w:tabs>
        <w:ind w:left="0" w:firstLine="0"/>
      </w:pPr>
      <w:rPr>
        <w:rFonts w:ascii="Times New Roman" w:hAnsi="Times New Roman" w:cs="Times New Roman" w:hint="eastAsia"/>
        <w:b/>
        <w:bCs/>
        <w:i w:val="0"/>
        <w:iCs w:val="0"/>
        <w:caps w:val="0"/>
        <w:smallCaps w:val="0"/>
        <w:strike w:val="0"/>
        <w:dstrike w:val="0"/>
        <w:vanish w:val="0"/>
        <w:color w:val="000000"/>
        <w:spacing w:val="0"/>
        <w:position w:val="0"/>
        <w:u w:val="none"/>
        <w:vertAlign w:val="baseline"/>
      </w:rPr>
    </w:lvl>
    <w:lvl w:ilvl="2">
      <w:start w:val="1"/>
      <w:numFmt w:val="decimal"/>
      <w:lvlText w:val="%1.%2.%3"/>
      <w:lvlJc w:val="left"/>
      <w:pPr>
        <w:tabs>
          <w:tab w:val="left" w:pos="0"/>
        </w:tabs>
        <w:ind w:left="0" w:firstLine="0"/>
      </w:pPr>
      <w:rPr>
        <w:rFonts w:ascii="Times New Roman" w:hAnsi="Times New Roman" w:cs="Times New Roman" w:hint="eastAsia"/>
        <w:b/>
        <w:bCs/>
        <w:i w:val="0"/>
        <w:iCs w:val="0"/>
        <w:caps w:val="0"/>
        <w:smallCaps w:val="0"/>
        <w:strike w:val="0"/>
        <w:dstrike w:val="0"/>
        <w:vanish w:val="0"/>
        <w:color w:val="000000"/>
        <w:spacing w:val="0"/>
        <w:position w:val="0"/>
        <w:u w:val="none"/>
        <w:vertAlign w:val="baseline"/>
      </w:rPr>
    </w:lvl>
    <w:lvl w:ilvl="3">
      <w:start w:val="1"/>
      <w:numFmt w:val="decimal"/>
      <w:pStyle w:val="a4G"/>
      <w:lvlText w:val="%1.%2.%3.%4"/>
      <w:lvlJc w:val="left"/>
      <w:pPr>
        <w:tabs>
          <w:tab w:val="left" w:pos="0"/>
        </w:tabs>
        <w:ind w:left="0" w:firstLine="0"/>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0"/>
        </w:tabs>
        <w:ind w:left="0" w:firstLine="0"/>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F1"/>
    <w:rsid w:val="00003EA2"/>
    <w:rsid w:val="00017DAD"/>
    <w:rsid w:val="000648F8"/>
    <w:rsid w:val="000931F7"/>
    <w:rsid w:val="000C62B0"/>
    <w:rsid w:val="000E3E89"/>
    <w:rsid w:val="000E612E"/>
    <w:rsid w:val="000F2FF2"/>
    <w:rsid w:val="00131BF3"/>
    <w:rsid w:val="001436B9"/>
    <w:rsid w:val="00147830"/>
    <w:rsid w:val="0017065C"/>
    <w:rsid w:val="00170B26"/>
    <w:rsid w:val="00184F1A"/>
    <w:rsid w:val="001A680D"/>
    <w:rsid w:val="001C1085"/>
    <w:rsid w:val="0021709E"/>
    <w:rsid w:val="002176D6"/>
    <w:rsid w:val="002249DB"/>
    <w:rsid w:val="00243474"/>
    <w:rsid w:val="002475C5"/>
    <w:rsid w:val="00286D31"/>
    <w:rsid w:val="0029698D"/>
    <w:rsid w:val="002A3EC7"/>
    <w:rsid w:val="002A7442"/>
    <w:rsid w:val="002A7824"/>
    <w:rsid w:val="002B5F2B"/>
    <w:rsid w:val="002B7E1A"/>
    <w:rsid w:val="002C2999"/>
    <w:rsid w:val="002D4D92"/>
    <w:rsid w:val="0030052B"/>
    <w:rsid w:val="003774D9"/>
    <w:rsid w:val="0039557F"/>
    <w:rsid w:val="00471EC2"/>
    <w:rsid w:val="00472D4E"/>
    <w:rsid w:val="00485FB8"/>
    <w:rsid w:val="004A4BC0"/>
    <w:rsid w:val="004B7CF8"/>
    <w:rsid w:val="004D0267"/>
    <w:rsid w:val="004E1594"/>
    <w:rsid w:val="00507441"/>
    <w:rsid w:val="00545816"/>
    <w:rsid w:val="005A3714"/>
    <w:rsid w:val="005B3C78"/>
    <w:rsid w:val="005B4FAE"/>
    <w:rsid w:val="006013E0"/>
    <w:rsid w:val="006304B3"/>
    <w:rsid w:val="00630963"/>
    <w:rsid w:val="00637225"/>
    <w:rsid w:val="006420A5"/>
    <w:rsid w:val="00644C91"/>
    <w:rsid w:val="00661381"/>
    <w:rsid w:val="0069493A"/>
    <w:rsid w:val="00697811"/>
    <w:rsid w:val="006A771D"/>
    <w:rsid w:val="006B18D8"/>
    <w:rsid w:val="006B2094"/>
    <w:rsid w:val="006C4887"/>
    <w:rsid w:val="006C79A3"/>
    <w:rsid w:val="0070448A"/>
    <w:rsid w:val="00717F25"/>
    <w:rsid w:val="00720183"/>
    <w:rsid w:val="00723B98"/>
    <w:rsid w:val="007464F1"/>
    <w:rsid w:val="00754EAB"/>
    <w:rsid w:val="00771883"/>
    <w:rsid w:val="00772F43"/>
    <w:rsid w:val="00773072"/>
    <w:rsid w:val="00782B98"/>
    <w:rsid w:val="007B226A"/>
    <w:rsid w:val="007C6798"/>
    <w:rsid w:val="007C745D"/>
    <w:rsid w:val="007D00AE"/>
    <w:rsid w:val="007F6F41"/>
    <w:rsid w:val="007F7456"/>
    <w:rsid w:val="00803EA8"/>
    <w:rsid w:val="008536B7"/>
    <w:rsid w:val="0085453C"/>
    <w:rsid w:val="0088608C"/>
    <w:rsid w:val="0089548E"/>
    <w:rsid w:val="0089639A"/>
    <w:rsid w:val="008D45B2"/>
    <w:rsid w:val="008D7EF3"/>
    <w:rsid w:val="00906490"/>
    <w:rsid w:val="009251C1"/>
    <w:rsid w:val="0093704B"/>
    <w:rsid w:val="00967F61"/>
    <w:rsid w:val="009867F3"/>
    <w:rsid w:val="00993848"/>
    <w:rsid w:val="009977C9"/>
    <w:rsid w:val="009C0ACD"/>
    <w:rsid w:val="009D2E02"/>
    <w:rsid w:val="009E2845"/>
    <w:rsid w:val="00A216BF"/>
    <w:rsid w:val="00A35BB1"/>
    <w:rsid w:val="00A5166C"/>
    <w:rsid w:val="00A56345"/>
    <w:rsid w:val="00A83070"/>
    <w:rsid w:val="00AA5419"/>
    <w:rsid w:val="00AC26C4"/>
    <w:rsid w:val="00AD025C"/>
    <w:rsid w:val="00AD4512"/>
    <w:rsid w:val="00AF64CC"/>
    <w:rsid w:val="00B33F41"/>
    <w:rsid w:val="00B46488"/>
    <w:rsid w:val="00B843BC"/>
    <w:rsid w:val="00B94100"/>
    <w:rsid w:val="00BA2D5F"/>
    <w:rsid w:val="00BD2B39"/>
    <w:rsid w:val="00C127AC"/>
    <w:rsid w:val="00C51626"/>
    <w:rsid w:val="00C61575"/>
    <w:rsid w:val="00C66A30"/>
    <w:rsid w:val="00C9027D"/>
    <w:rsid w:val="00CD3218"/>
    <w:rsid w:val="00CD779B"/>
    <w:rsid w:val="00D22615"/>
    <w:rsid w:val="00DA453B"/>
    <w:rsid w:val="00E13451"/>
    <w:rsid w:val="00E20F44"/>
    <w:rsid w:val="00E30749"/>
    <w:rsid w:val="00E35458"/>
    <w:rsid w:val="00E37D70"/>
    <w:rsid w:val="00E5221F"/>
    <w:rsid w:val="00E86479"/>
    <w:rsid w:val="00E90750"/>
    <w:rsid w:val="00E927C6"/>
    <w:rsid w:val="00EB3B20"/>
    <w:rsid w:val="00EE7EE8"/>
    <w:rsid w:val="00F13474"/>
    <w:rsid w:val="00F43D37"/>
    <w:rsid w:val="00F7001E"/>
    <w:rsid w:val="00F72A2C"/>
    <w:rsid w:val="00F72ADD"/>
    <w:rsid w:val="00FA3A52"/>
    <w:rsid w:val="00FA5345"/>
    <w:rsid w:val="00FC3606"/>
    <w:rsid w:val="391A351D"/>
    <w:rsid w:val="568E10C9"/>
    <w:rsid w:val="7DB5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D56F"/>
  <w15:docId w15:val="{4BA3F642-C916-4FDA-B08E-9871CC18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pageBreakBefore/>
      <w:widowControl/>
      <w:adjustRightInd w:val="0"/>
      <w:snapToGrid w:val="0"/>
      <w:spacing w:beforeLines="50" w:line="240" w:lineRule="atLeast"/>
      <w:outlineLvl w:val="0"/>
    </w:pPr>
    <w:rPr>
      <w:rFonts w:eastAsia="黑体"/>
      <w:b/>
      <w:caps/>
      <w:snapToGrid w:val="0"/>
      <w:kern w:val="0"/>
      <w:sz w:val="32"/>
    </w:rPr>
  </w:style>
  <w:style w:type="paragraph" w:styleId="2">
    <w:name w:val="heading 2"/>
    <w:basedOn w:val="a"/>
    <w:next w:val="a"/>
    <w:link w:val="20"/>
    <w:qFormat/>
    <w:pPr>
      <w:keepNext/>
      <w:keepLines/>
      <w:tabs>
        <w:tab w:val="left" w:pos="0"/>
        <w:tab w:val="left" w:pos="360"/>
        <w:tab w:val="left" w:pos="720"/>
        <w:tab w:val="left" w:pos="4832"/>
      </w:tabs>
      <w:adjustRightInd w:val="0"/>
      <w:spacing w:beforeLines="50" w:afterLines="50" w:line="360" w:lineRule="auto"/>
      <w:contextualSpacing/>
      <w:jc w:val="left"/>
      <w:outlineLvl w:val="1"/>
    </w:pPr>
    <w:rPr>
      <w:b/>
      <w:sz w:val="30"/>
      <w:szCs w:val="30"/>
    </w:rPr>
  </w:style>
  <w:style w:type="paragraph" w:styleId="3">
    <w:name w:val="heading 3"/>
    <w:basedOn w:val="a"/>
    <w:next w:val="a"/>
    <w:link w:val="30"/>
    <w:uiPriority w:val="9"/>
    <w:unhideWhenUsed/>
    <w:qFormat/>
    <w:pPr>
      <w:keepNext/>
      <w:keepLines/>
      <w:spacing w:line="360" w:lineRule="auto"/>
      <w:ind w:firstLineChars="200" w:firstLine="200"/>
      <w:outlineLvl w:val="2"/>
    </w:pPr>
    <w:rPr>
      <w:rFonts w:eastAsia="楷体" w:cstheme="minorBidi"/>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link w:val="ab"/>
    <w:uiPriority w:val="10"/>
    <w:qFormat/>
    <w:pPr>
      <w:adjustRightInd w:val="0"/>
      <w:spacing w:before="960" w:after="720" w:line="437" w:lineRule="atLeast"/>
      <w:jc w:val="center"/>
      <w:textAlignment w:val="baseline"/>
    </w:pPr>
    <w:rPr>
      <w:rFonts w:ascii="黑体" w:eastAsia="黑体" w:hAnsi="Arial"/>
      <w:b/>
      <w:color w:val="000000"/>
      <w:spacing w:val="20"/>
      <w:kern w:val="16"/>
      <w:sz w:val="32"/>
      <w:szCs w:val="20"/>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黑体" w:hAnsi="Times New Roman" w:cs="Times New Roman"/>
      <w:b/>
      <w:caps/>
      <w:snapToGrid w:val="0"/>
      <w:kern w:val="0"/>
      <w:sz w:val="32"/>
      <w:szCs w:val="24"/>
    </w:rPr>
  </w:style>
  <w:style w:type="character" w:customStyle="1" w:styleId="20">
    <w:name w:val="标题 2 字符"/>
    <w:basedOn w:val="a0"/>
    <w:link w:val="2"/>
    <w:qFormat/>
    <w:rPr>
      <w:rFonts w:ascii="Times New Roman" w:eastAsia="宋体" w:hAnsi="Times New Roman" w:cs="Times New Roman"/>
      <w:b/>
      <w:sz w:val="30"/>
      <w:szCs w:val="30"/>
    </w:rPr>
  </w:style>
  <w:style w:type="character" w:customStyle="1" w:styleId="60">
    <w:name w:val="标题 6 字符"/>
    <w:basedOn w:val="a0"/>
    <w:link w:val="6"/>
    <w:qFormat/>
    <w:rPr>
      <w:rFonts w:ascii="Arial" w:eastAsia="黑体" w:hAnsi="Arial" w:cs="Times New Roman"/>
      <w:b/>
      <w:kern w:val="0"/>
      <w:sz w:val="24"/>
      <w:szCs w:val="24"/>
    </w:rPr>
  </w:style>
  <w:style w:type="character" w:customStyle="1" w:styleId="70">
    <w:name w:val="标题 7 字符"/>
    <w:basedOn w:val="a0"/>
    <w:link w:val="7"/>
    <w:qFormat/>
    <w:rPr>
      <w:rFonts w:ascii="Times New Roman" w:eastAsia="宋体" w:hAnsi="Times New Roman" w:cs="Times New Roman"/>
      <w:b/>
      <w:kern w:val="0"/>
      <w:sz w:val="24"/>
      <w:szCs w:val="24"/>
    </w:rPr>
  </w:style>
  <w:style w:type="character" w:customStyle="1" w:styleId="90">
    <w:name w:val="标题 9 字符"/>
    <w:basedOn w:val="a0"/>
    <w:link w:val="9"/>
    <w:qFormat/>
    <w:rPr>
      <w:rFonts w:ascii="Arial" w:eastAsia="黑体" w:hAnsi="Arial" w:cs="Times New Roman"/>
      <w:kern w:val="0"/>
      <w:szCs w:val="24"/>
    </w:rPr>
  </w:style>
  <w:style w:type="paragraph" w:customStyle="1" w:styleId="a4G">
    <w:name w:val="a标题4(G)"/>
    <w:basedOn w:val="4"/>
    <w:link w:val="a4GCharChar"/>
    <w:semiHidden/>
    <w:qFormat/>
    <w:pPr>
      <w:keepNext w:val="0"/>
      <w:keepLines w:val="0"/>
      <w:numPr>
        <w:ilvl w:val="3"/>
        <w:numId w:val="1"/>
      </w:numPr>
      <w:tabs>
        <w:tab w:val="left" w:pos="360"/>
        <w:tab w:val="left" w:pos="864"/>
        <w:tab w:val="left" w:pos="1021"/>
      </w:tabs>
      <w:spacing w:before="0" w:after="0" w:line="360" w:lineRule="auto"/>
      <w:ind w:rightChars="-27" w:right="-57"/>
      <w:jc w:val="left"/>
    </w:pPr>
    <w:rPr>
      <w:rFonts w:ascii="楷体" w:eastAsia="黑体" w:hAnsi="楷体" w:cs="Times New Roman"/>
      <w:bCs w:val="0"/>
      <w:sz w:val="24"/>
      <w:szCs w:val="24"/>
    </w:rPr>
  </w:style>
  <w:style w:type="character" w:customStyle="1" w:styleId="a4GCharChar">
    <w:name w:val="a标题4(G) Char Char"/>
    <w:link w:val="a4G"/>
    <w:semiHidden/>
    <w:qFormat/>
    <w:rPr>
      <w:rFonts w:ascii="楷体" w:eastAsia="黑体" w:hAnsi="楷体" w:cs="Times New Roman"/>
      <w:b/>
      <w:sz w:val="24"/>
      <w:szCs w:val="24"/>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a5">
    <w:name w:val="批注框文本 字符"/>
    <w:basedOn w:val="a0"/>
    <w:link w:val="a4"/>
    <w:uiPriority w:val="99"/>
    <w:semiHidden/>
    <w:rPr>
      <w:rFonts w:ascii="Times New Roman" w:eastAsia="宋体" w:hAnsi="Times New Roman" w:cs="Times New Roman"/>
      <w:sz w:val="18"/>
      <w:szCs w:val="18"/>
    </w:rPr>
  </w:style>
  <w:style w:type="paragraph" w:styleId="ad">
    <w:name w:val="List Paragraph"/>
    <w:basedOn w:val="a"/>
    <w:link w:val="ae"/>
    <w:uiPriority w:val="34"/>
    <w:qFormat/>
    <w:pPr>
      <w:spacing w:line="360" w:lineRule="auto"/>
      <w:ind w:leftChars="100" w:left="100" w:firstLineChars="200" w:firstLine="420"/>
    </w:pPr>
    <w:rPr>
      <w:sz w:val="24"/>
    </w:rPr>
  </w:style>
  <w:style w:type="paragraph" w:customStyle="1" w:styleId="af">
    <w:name w:val="表文字"/>
    <w:basedOn w:val="a"/>
    <w:link w:val="Char1"/>
    <w:qFormat/>
    <w:pPr>
      <w:overflowPunct w:val="0"/>
      <w:autoSpaceDE w:val="0"/>
      <w:autoSpaceDN w:val="0"/>
      <w:adjustRightInd w:val="0"/>
      <w:spacing w:line="240" w:lineRule="atLeast"/>
      <w:jc w:val="center"/>
      <w:textAlignment w:val="baseline"/>
    </w:pPr>
    <w:rPr>
      <w:kern w:val="0"/>
      <w:sz w:val="24"/>
      <w:szCs w:val="20"/>
    </w:rPr>
  </w:style>
  <w:style w:type="character" w:customStyle="1" w:styleId="Char1">
    <w:name w:val="表文字 Char1"/>
    <w:link w:val="af"/>
    <w:rPr>
      <w:rFonts w:ascii="Times New Roman" w:eastAsia="宋体" w:hAnsi="Times New Roman" w:cs="Times New Roman"/>
      <w:kern w:val="0"/>
      <w:sz w:val="24"/>
      <w:szCs w:val="20"/>
    </w:rPr>
  </w:style>
  <w:style w:type="character" w:customStyle="1" w:styleId="ae">
    <w:name w:val="列表段落 字符"/>
    <w:link w:val="ad"/>
    <w:uiPriority w:val="34"/>
    <w:qFormat/>
    <w:rPr>
      <w:rFonts w:ascii="Times New Roman" w:eastAsia="宋体" w:hAnsi="Times New Roman" w:cs="Times New Roman"/>
      <w:sz w:val="24"/>
      <w:szCs w:val="24"/>
    </w:rPr>
  </w:style>
  <w:style w:type="character" w:customStyle="1" w:styleId="123YJCharChar">
    <w:name w:val="123YJ Char Char"/>
    <w:qFormat/>
    <w:rPr>
      <w:rFonts w:eastAsia="宋体"/>
      <w:kern w:val="2"/>
      <w:sz w:val="18"/>
      <w:szCs w:val="18"/>
      <w:lang w:bidi="ar-SA"/>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b">
    <w:name w:val="标题 字符"/>
    <w:basedOn w:val="a0"/>
    <w:link w:val="aa"/>
    <w:uiPriority w:val="10"/>
    <w:qFormat/>
    <w:rPr>
      <w:rFonts w:ascii="黑体" w:eastAsia="黑体" w:hAnsi="Arial" w:cs="Times New Roman"/>
      <w:b/>
      <w:color w:val="000000"/>
      <w:spacing w:val="20"/>
      <w:kern w:val="16"/>
      <w:sz w:val="32"/>
      <w:szCs w:val="20"/>
    </w:rPr>
  </w:style>
  <w:style w:type="paragraph" w:customStyle="1" w:styleId="af0">
    <w:name w:val="地下水正文"/>
    <w:basedOn w:val="a"/>
    <w:link w:val="Char"/>
    <w:qFormat/>
    <w:pPr>
      <w:adjustRightInd w:val="0"/>
      <w:snapToGrid w:val="0"/>
      <w:spacing w:line="500" w:lineRule="atLeast"/>
      <w:ind w:firstLine="567"/>
    </w:pPr>
    <w:rPr>
      <w:snapToGrid w:val="0"/>
      <w:color w:val="000000"/>
      <w:kern w:val="0"/>
      <w:sz w:val="24"/>
    </w:rPr>
  </w:style>
  <w:style w:type="character" w:customStyle="1" w:styleId="Char">
    <w:name w:val="地下水正文 Char"/>
    <w:link w:val="af0"/>
    <w:qFormat/>
    <w:rPr>
      <w:rFonts w:ascii="Times New Roman" w:eastAsia="宋体" w:hAnsi="Times New Roman" w:cs="Times New Roman"/>
      <w:snapToGrid w:val="0"/>
      <w:color w:val="000000"/>
      <w:kern w:val="0"/>
      <w:sz w:val="24"/>
      <w:szCs w:val="24"/>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30">
    <w:name w:val="标题 3 字符"/>
    <w:basedOn w:val="a0"/>
    <w:link w:val="3"/>
    <w:uiPriority w:val="9"/>
    <w:qFormat/>
    <w:rPr>
      <w:rFonts w:ascii="Times New Roman" w:eastAsia="楷体" w:hAnsi="Times New Roman"/>
      <w:b/>
      <w:bCs/>
      <w:sz w:val="30"/>
      <w:szCs w:val="32"/>
    </w:rPr>
  </w:style>
  <w:style w:type="character" w:styleId="af1">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9.png"/><Relationship Id="rId10" Type="http://schemas.openxmlformats.org/officeDocument/2006/relationships/chart" Target="charts/chart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D:\&#35268;&#21010;&#38498;\&#31185;&#30740;\&#19987;&#21033;&#25991;&#31456;\2021&#24180;&#34892;&#19994;&#25919;&#31574;&#30740;&#31350;\1&#26376;9&#26085;&#25991;&#20214;\2021&#24180;&#32511;&#30382;&#20070;&#30011;&#22270;01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5268;&#21010;&#38498;\&#31185;&#30740;\&#19987;&#21033;&#25991;&#31456;\2021&#24180;&#34892;&#19994;&#25919;&#31574;&#30740;&#31350;\1&#26376;9&#26085;&#25991;&#20214;\2021&#24180;&#32511;&#30382;&#20070;&#30011;&#22270;0109.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35268;&#21010;&#38498;\&#31185;&#30740;\&#19987;&#21033;&#25991;&#31456;\2021&#24180;&#34892;&#19994;&#25919;&#31574;&#30740;&#31350;\1&#26376;9&#26085;&#25991;&#20214;\2021&#24180;&#32511;&#30382;&#20070;&#30011;&#22270;0109.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35268;&#21010;&#38498;\&#31185;&#30740;\&#19987;&#21033;&#25991;&#31456;\2021&#24180;&#34892;&#19994;&#25919;&#31574;&#30740;&#31350;\12&#26376;27&#26085;&#25991;&#20214;\2021&#24180;&#32511;&#30382;&#20070;&#30011;&#22270;0109-xdd.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24494;&#20449;&#20445;&#23384;&#22320;&#22336;\WeChat%20Files\wxid_03ytv9a8en1j41\FileStorage\File\2021-12\2021&#24180;&#20462;&#22797;&#34892;&#19994;&#34920;&#26684;.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D:\&#24494;&#20449;&#20445;&#23384;&#22320;&#22336;\WeChat%20Files\wxid_03ytv9a8en1j41\FileStorage\File\2021-12\2021&#24180;&#20462;&#22797;&#34892;&#19994;&#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00"/>
              <a:t>2021</a:t>
            </a:r>
            <a:r>
              <a:rPr lang="zh-CN" sz="1000"/>
              <a:t>年全国</a:t>
            </a:r>
            <a:r>
              <a:rPr lang="en-US" sz="1000"/>
              <a:t>31</a:t>
            </a:r>
            <a:r>
              <a:rPr lang="zh-CN" sz="1000"/>
              <a:t>个省市修复产业市场</a:t>
            </a:r>
            <a:endParaRPr lang="en-US" altLang="zh-CN" sz="1000"/>
          </a:p>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00"/>
              <a:t>（</a:t>
            </a:r>
            <a:r>
              <a:rPr lang="zh-CN" altLang="en-US" sz="1000"/>
              <a:t>项目金额</a:t>
            </a:r>
            <a:r>
              <a:rPr lang="zh-CN" sz="1000"/>
              <a:t>）</a:t>
            </a:r>
          </a:p>
        </c:rich>
      </c:tx>
      <c:overlay val="0"/>
      <c:spPr>
        <a:noFill/>
        <a:ln>
          <a:noFill/>
        </a:ln>
        <a:effectLst/>
      </c:spPr>
    </c:title>
    <c:autoTitleDeleted val="0"/>
    <c:plotArea>
      <c:layout>
        <c:manualLayout>
          <c:layoutTarget val="inner"/>
          <c:xMode val="edge"/>
          <c:yMode val="edge"/>
          <c:x val="0.10521227835546"/>
          <c:y val="0.14530156631941199"/>
          <c:w val="0.84842466606363298"/>
          <c:h val="0.84185110835301902"/>
        </c:manualLayout>
      </c:layout>
      <c:barChart>
        <c:barDir val="bar"/>
        <c:grouping val="clustered"/>
        <c:varyColors val="0"/>
        <c:ser>
          <c:idx val="0"/>
          <c:order val="0"/>
          <c:tx>
            <c:strRef>
              <c:f>'图1-2 '!$P$43</c:f>
              <c:strCache>
                <c:ptCount val="1"/>
                <c:pt idx="0">
                  <c:v>金额</c:v>
                </c:pt>
              </c:strCache>
            </c:strRef>
          </c:tx>
          <c:spPr>
            <a:solidFill>
              <a:srgbClr val="92D05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'图1-2 '!$O$44:$O$74</c:f>
              <c:strCache>
                <c:ptCount val="31"/>
                <c:pt idx="0">
                  <c:v>宁夏</c:v>
                </c:pt>
                <c:pt idx="1">
                  <c:v>西藏</c:v>
                </c:pt>
                <c:pt idx="2">
                  <c:v>吉林</c:v>
                </c:pt>
                <c:pt idx="3">
                  <c:v>海南</c:v>
                </c:pt>
                <c:pt idx="4">
                  <c:v>黑龙江</c:v>
                </c:pt>
                <c:pt idx="5">
                  <c:v>贵州</c:v>
                </c:pt>
                <c:pt idx="6">
                  <c:v>福建</c:v>
                </c:pt>
                <c:pt idx="7">
                  <c:v>陕西</c:v>
                </c:pt>
                <c:pt idx="8">
                  <c:v>内蒙古</c:v>
                </c:pt>
                <c:pt idx="9">
                  <c:v>青海</c:v>
                </c:pt>
                <c:pt idx="10">
                  <c:v>甘肃</c:v>
                </c:pt>
                <c:pt idx="11">
                  <c:v>新疆</c:v>
                </c:pt>
                <c:pt idx="12">
                  <c:v>辽宁</c:v>
                </c:pt>
                <c:pt idx="13">
                  <c:v>广西</c:v>
                </c:pt>
                <c:pt idx="14">
                  <c:v>山西</c:v>
                </c:pt>
                <c:pt idx="15">
                  <c:v>河南</c:v>
                </c:pt>
                <c:pt idx="16">
                  <c:v>河北</c:v>
                </c:pt>
                <c:pt idx="17">
                  <c:v>上海</c:v>
                </c:pt>
                <c:pt idx="18">
                  <c:v>北京</c:v>
                </c:pt>
                <c:pt idx="19">
                  <c:v>江西</c:v>
                </c:pt>
                <c:pt idx="20">
                  <c:v>四川</c:v>
                </c:pt>
                <c:pt idx="21">
                  <c:v>云南</c:v>
                </c:pt>
                <c:pt idx="22">
                  <c:v>湖北</c:v>
                </c:pt>
                <c:pt idx="23">
                  <c:v>天津</c:v>
                </c:pt>
                <c:pt idx="24">
                  <c:v>湖南</c:v>
                </c:pt>
                <c:pt idx="25">
                  <c:v>安徽</c:v>
                </c:pt>
                <c:pt idx="26">
                  <c:v>山东</c:v>
                </c:pt>
                <c:pt idx="27">
                  <c:v>广东</c:v>
                </c:pt>
                <c:pt idx="28">
                  <c:v>浙江</c:v>
                </c:pt>
                <c:pt idx="29">
                  <c:v>江苏</c:v>
                </c:pt>
                <c:pt idx="30">
                  <c:v>重庆</c:v>
                </c:pt>
              </c:strCache>
            </c:strRef>
          </c:cat>
          <c:val>
            <c:numRef>
              <c:f>'图1-2 '!$P$44:$P$74</c:f>
              <c:numCache>
                <c:formatCode>0.00_ </c:formatCode>
                <c:ptCount val="31"/>
                <c:pt idx="0">
                  <c:v>2.4500000000000001E-2</c:v>
                </c:pt>
                <c:pt idx="1">
                  <c:v>9.9509200000000006E-2</c:v>
                </c:pt>
                <c:pt idx="2">
                  <c:v>0.24786253</c:v>
                </c:pt>
                <c:pt idx="3">
                  <c:v>0.4277435336</c:v>
                </c:pt>
                <c:pt idx="4">
                  <c:v>0.62132394729999996</c:v>
                </c:pt>
                <c:pt idx="5">
                  <c:v>0.8584742031</c:v>
                </c:pt>
                <c:pt idx="6">
                  <c:v>0.88584799999999997</c:v>
                </c:pt>
                <c:pt idx="7">
                  <c:v>0.99063983200000005</c:v>
                </c:pt>
                <c:pt idx="8">
                  <c:v>1.2984860951999999</c:v>
                </c:pt>
                <c:pt idx="9">
                  <c:v>1.4396263697</c:v>
                </c:pt>
                <c:pt idx="10">
                  <c:v>1.4678825600000001</c:v>
                </c:pt>
                <c:pt idx="11">
                  <c:v>1.613197</c:v>
                </c:pt>
                <c:pt idx="12">
                  <c:v>2.2710220595999999</c:v>
                </c:pt>
                <c:pt idx="13">
                  <c:v>2.2957037216999998</c:v>
                </c:pt>
                <c:pt idx="14">
                  <c:v>2.8543314999999998</c:v>
                </c:pt>
                <c:pt idx="15">
                  <c:v>3.0330500352</c:v>
                </c:pt>
                <c:pt idx="16">
                  <c:v>3.2192491686000002</c:v>
                </c:pt>
                <c:pt idx="17">
                  <c:v>3.5548285975999998</c:v>
                </c:pt>
                <c:pt idx="18">
                  <c:v>3.7496002632000001</c:v>
                </c:pt>
                <c:pt idx="19">
                  <c:v>4.4806533799999997</c:v>
                </c:pt>
                <c:pt idx="20">
                  <c:v>5.1362716525999996</c:v>
                </c:pt>
                <c:pt idx="21">
                  <c:v>5.903664902</c:v>
                </c:pt>
                <c:pt idx="22">
                  <c:v>5.9094795124799999</c:v>
                </c:pt>
                <c:pt idx="23">
                  <c:v>6.2366138522999996</c:v>
                </c:pt>
                <c:pt idx="24">
                  <c:v>6.9354151829999999</c:v>
                </c:pt>
                <c:pt idx="25">
                  <c:v>9.7738057499999993</c:v>
                </c:pt>
                <c:pt idx="26">
                  <c:v>11.798199800000001</c:v>
                </c:pt>
                <c:pt idx="27">
                  <c:v>11.7999893607</c:v>
                </c:pt>
                <c:pt idx="28">
                  <c:v>15.453666370000001</c:v>
                </c:pt>
                <c:pt idx="29">
                  <c:v>17.262750824600001</c:v>
                </c:pt>
                <c:pt idx="30">
                  <c:v>24.928025035800001</c:v>
                </c:pt>
              </c:numCache>
            </c:numRef>
          </c:val>
          <c:extLst>
            <c:ext xmlns:c16="http://schemas.microsoft.com/office/drawing/2014/chart" uri="{C3380CC4-5D6E-409C-BE32-E72D297353CC}">
              <c16:uniqueId val="{00000000-A76B-4F21-8C2A-38724FDFBC84}"/>
            </c:ext>
          </c:extLst>
        </c:ser>
        <c:dLbls>
          <c:showLegendKey val="0"/>
          <c:showVal val="0"/>
          <c:showCatName val="0"/>
          <c:showSerName val="0"/>
          <c:showPercent val="0"/>
          <c:showBubbleSize val="0"/>
        </c:dLbls>
        <c:gapWidth val="182"/>
        <c:axId val="350889472"/>
        <c:axId val="350976256"/>
      </c:barChart>
      <c:catAx>
        <c:axId val="350889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50976256"/>
        <c:crosses val="autoZero"/>
        <c:auto val="1"/>
        <c:lblAlgn val="ctr"/>
        <c:lblOffset val="100"/>
        <c:noMultiLvlLbl val="0"/>
      </c:catAx>
      <c:valAx>
        <c:axId val="35097625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b="1"/>
                  <a:t>金额（亿元）</a:t>
                </a:r>
              </a:p>
            </c:rich>
          </c:tx>
          <c:layout>
            <c:manualLayout>
              <c:xMode val="edge"/>
              <c:yMode val="edge"/>
              <c:x val="0.68381861575179004"/>
              <c:y val="7.7577150682251697E-2"/>
            </c:manualLayout>
          </c:layout>
          <c:overlay val="0"/>
          <c:spPr>
            <a:noFill/>
            <a:ln>
              <a:noFill/>
            </a:ln>
            <a:effectLst/>
          </c:spPr>
        </c:title>
        <c:numFmt formatCode="0.00_ " sourceLinked="1"/>
        <c:majorTickMark val="none"/>
        <c:minorTickMark val="none"/>
        <c:tickLblPos val="high"/>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50889472"/>
        <c:crosses val="autoZero"/>
        <c:crossBetween val="between"/>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1">
          <a:latin typeface="楷体" panose="02010609060101010101" pitchFamily="3" charset="-122"/>
          <a:ea typeface="楷体" panose="02010609060101010101" pitchFamily="3"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00"/>
              <a:t>2021</a:t>
            </a:r>
            <a:r>
              <a:rPr lang="zh-CN" sz="1000"/>
              <a:t>年全国</a:t>
            </a:r>
            <a:r>
              <a:rPr lang="en-US" sz="1000"/>
              <a:t>31</a:t>
            </a:r>
            <a:r>
              <a:rPr lang="zh-CN" sz="1000"/>
              <a:t>个省市修复产业市场</a:t>
            </a:r>
            <a:endParaRPr lang="en-US" altLang="zh-CN" sz="1000"/>
          </a:p>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00"/>
              <a:t>（项目数</a:t>
            </a:r>
            <a:r>
              <a:rPr lang="zh-CN" altLang="en-US" sz="1000"/>
              <a:t>量</a:t>
            </a:r>
            <a:r>
              <a:rPr lang="zh-CN" sz="1000"/>
              <a:t>）</a:t>
            </a:r>
          </a:p>
        </c:rich>
      </c:tx>
      <c:layout>
        <c:manualLayout>
          <c:xMode val="edge"/>
          <c:yMode val="edge"/>
          <c:x val="0.111879591510562"/>
          <c:y val="1.0879500536693501E-2"/>
        </c:manualLayout>
      </c:layout>
      <c:overlay val="0"/>
      <c:spPr>
        <a:noFill/>
        <a:ln>
          <a:noFill/>
        </a:ln>
        <a:effectLst/>
      </c:spPr>
    </c:title>
    <c:autoTitleDeleted val="0"/>
    <c:plotArea>
      <c:layout>
        <c:manualLayout>
          <c:layoutTarget val="inner"/>
          <c:xMode val="edge"/>
          <c:yMode val="edge"/>
          <c:x val="0.13429071395385"/>
          <c:y val="0.149955298927921"/>
          <c:w val="0.77652145091279101"/>
          <c:h val="0.83566036056592896"/>
        </c:manualLayout>
      </c:layout>
      <c:barChart>
        <c:barDir val="bar"/>
        <c:grouping val="clustered"/>
        <c:varyColors val="0"/>
        <c:ser>
          <c:idx val="0"/>
          <c:order val="0"/>
          <c:spPr>
            <a:solidFill>
              <a:schemeClr val="accent1"/>
            </a:solidFill>
            <a:ln>
              <a:noFill/>
            </a:ln>
            <a:effectLst/>
          </c:spPr>
          <c:invertIfNegative val="0"/>
          <c:dPt>
            <c:idx val="29"/>
            <c:invertIfNegative val="0"/>
            <c:bubble3D val="0"/>
            <c:extLst>
              <c:ext xmlns:c16="http://schemas.microsoft.com/office/drawing/2014/chart" uri="{C3380CC4-5D6E-409C-BE32-E72D297353CC}">
                <c16:uniqueId val="{00000000-B2FB-4DCC-8846-46B906E1ACAB}"/>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'图1-2 '!$B$4:$B$34</c:f>
              <c:strCache>
                <c:ptCount val="31"/>
                <c:pt idx="0">
                  <c:v>宁夏</c:v>
                </c:pt>
                <c:pt idx="1">
                  <c:v>西藏</c:v>
                </c:pt>
                <c:pt idx="2">
                  <c:v>海南</c:v>
                </c:pt>
                <c:pt idx="3">
                  <c:v>青海</c:v>
                </c:pt>
                <c:pt idx="4">
                  <c:v>新疆</c:v>
                </c:pt>
                <c:pt idx="5">
                  <c:v>吉林</c:v>
                </c:pt>
                <c:pt idx="6">
                  <c:v>甘肃</c:v>
                </c:pt>
                <c:pt idx="7">
                  <c:v>内蒙古</c:v>
                </c:pt>
                <c:pt idx="8">
                  <c:v>北京</c:v>
                </c:pt>
                <c:pt idx="9">
                  <c:v>贵州</c:v>
                </c:pt>
                <c:pt idx="10">
                  <c:v>黑龙江</c:v>
                </c:pt>
                <c:pt idx="11">
                  <c:v>陕西</c:v>
                </c:pt>
                <c:pt idx="12">
                  <c:v>福建</c:v>
                </c:pt>
                <c:pt idx="13">
                  <c:v>广西</c:v>
                </c:pt>
                <c:pt idx="14">
                  <c:v>云南</c:v>
                </c:pt>
                <c:pt idx="15">
                  <c:v>天津</c:v>
                </c:pt>
                <c:pt idx="16">
                  <c:v>山西</c:v>
                </c:pt>
                <c:pt idx="17">
                  <c:v>河南</c:v>
                </c:pt>
                <c:pt idx="18">
                  <c:v>安徽</c:v>
                </c:pt>
                <c:pt idx="19">
                  <c:v>湖北</c:v>
                </c:pt>
                <c:pt idx="20">
                  <c:v>四川</c:v>
                </c:pt>
                <c:pt idx="21">
                  <c:v>湖南</c:v>
                </c:pt>
                <c:pt idx="22">
                  <c:v>辽宁</c:v>
                </c:pt>
                <c:pt idx="23">
                  <c:v>河北</c:v>
                </c:pt>
                <c:pt idx="24">
                  <c:v>江西</c:v>
                </c:pt>
                <c:pt idx="25">
                  <c:v>重庆</c:v>
                </c:pt>
                <c:pt idx="26">
                  <c:v>上海</c:v>
                </c:pt>
                <c:pt idx="27">
                  <c:v>浙江</c:v>
                </c:pt>
                <c:pt idx="28">
                  <c:v>山东</c:v>
                </c:pt>
                <c:pt idx="29">
                  <c:v>江苏</c:v>
                </c:pt>
                <c:pt idx="30">
                  <c:v>广东</c:v>
                </c:pt>
              </c:strCache>
            </c:strRef>
          </c:cat>
          <c:val>
            <c:numRef>
              <c:f>'图1-2 '!$C$4:$C$34</c:f>
              <c:numCache>
                <c:formatCode>General</c:formatCode>
                <c:ptCount val="31"/>
                <c:pt idx="0">
                  <c:v>2</c:v>
                </c:pt>
                <c:pt idx="1">
                  <c:v>4</c:v>
                </c:pt>
                <c:pt idx="2">
                  <c:v>5</c:v>
                </c:pt>
                <c:pt idx="3">
                  <c:v>13</c:v>
                </c:pt>
                <c:pt idx="4">
                  <c:v>16</c:v>
                </c:pt>
                <c:pt idx="5">
                  <c:v>28</c:v>
                </c:pt>
                <c:pt idx="6">
                  <c:v>29</c:v>
                </c:pt>
                <c:pt idx="7">
                  <c:v>36</c:v>
                </c:pt>
                <c:pt idx="8">
                  <c:v>38</c:v>
                </c:pt>
                <c:pt idx="9">
                  <c:v>42</c:v>
                </c:pt>
                <c:pt idx="10">
                  <c:v>46</c:v>
                </c:pt>
                <c:pt idx="11">
                  <c:v>48</c:v>
                </c:pt>
                <c:pt idx="12">
                  <c:v>57</c:v>
                </c:pt>
                <c:pt idx="13">
                  <c:v>67</c:v>
                </c:pt>
                <c:pt idx="14">
                  <c:v>75</c:v>
                </c:pt>
                <c:pt idx="15">
                  <c:v>79</c:v>
                </c:pt>
                <c:pt idx="16">
                  <c:v>90</c:v>
                </c:pt>
                <c:pt idx="17">
                  <c:v>93</c:v>
                </c:pt>
                <c:pt idx="18">
                  <c:v>93</c:v>
                </c:pt>
                <c:pt idx="19">
                  <c:v>100</c:v>
                </c:pt>
                <c:pt idx="20">
                  <c:v>108</c:v>
                </c:pt>
                <c:pt idx="21">
                  <c:v>121</c:v>
                </c:pt>
                <c:pt idx="22">
                  <c:v>124</c:v>
                </c:pt>
                <c:pt idx="23">
                  <c:v>127</c:v>
                </c:pt>
                <c:pt idx="24">
                  <c:v>137</c:v>
                </c:pt>
                <c:pt idx="25">
                  <c:v>233</c:v>
                </c:pt>
                <c:pt idx="26">
                  <c:v>251</c:v>
                </c:pt>
                <c:pt idx="27">
                  <c:v>258</c:v>
                </c:pt>
                <c:pt idx="28">
                  <c:v>391</c:v>
                </c:pt>
                <c:pt idx="29">
                  <c:v>406</c:v>
                </c:pt>
                <c:pt idx="30">
                  <c:v>509</c:v>
                </c:pt>
              </c:numCache>
            </c:numRef>
          </c:val>
          <c:extLst>
            <c:ext xmlns:c16="http://schemas.microsoft.com/office/drawing/2014/chart" uri="{C3380CC4-5D6E-409C-BE32-E72D297353CC}">
              <c16:uniqueId val="{00000001-B2FB-4DCC-8846-46B906E1ACAB}"/>
            </c:ext>
          </c:extLst>
        </c:ser>
        <c:dLbls>
          <c:showLegendKey val="0"/>
          <c:showVal val="0"/>
          <c:showCatName val="0"/>
          <c:showSerName val="0"/>
          <c:showPercent val="0"/>
          <c:showBubbleSize val="0"/>
        </c:dLbls>
        <c:gapWidth val="182"/>
        <c:axId val="333250560"/>
        <c:axId val="333252096"/>
      </c:barChart>
      <c:catAx>
        <c:axId val="33325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252096"/>
        <c:crosses val="autoZero"/>
        <c:auto val="1"/>
        <c:lblAlgn val="ctr"/>
        <c:lblOffset val="100"/>
        <c:noMultiLvlLbl val="0"/>
      </c:catAx>
      <c:valAx>
        <c:axId val="33325209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b="1"/>
                  <a:t>数量（个）</a:t>
                </a:r>
              </a:p>
            </c:rich>
          </c:tx>
          <c:layout>
            <c:manualLayout>
              <c:xMode val="edge"/>
              <c:yMode val="edge"/>
              <c:x val="0.71758793969849199"/>
              <c:y val="7.7242627280285595E-2"/>
            </c:manualLayout>
          </c:layout>
          <c:overlay val="0"/>
          <c:spPr>
            <a:noFill/>
            <a:ln>
              <a:noFill/>
            </a:ln>
            <a:effectLst/>
          </c:spPr>
        </c:title>
        <c:numFmt formatCode="General" sourceLinked="1"/>
        <c:majorTickMark val="none"/>
        <c:minorTickMark val="none"/>
        <c:tickLblPos val="high"/>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250560"/>
        <c:crosses val="autoZero"/>
        <c:crossBetween val="between"/>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1">
          <a:latin typeface="楷体" panose="02010609060101010101" pitchFamily="3" charset="-122"/>
          <a:ea typeface="楷体" panose="02010609060101010101" pitchFamily="3"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00"/>
              <a:t>2021</a:t>
            </a:r>
            <a:r>
              <a:rPr lang="zh-CN" sz="1000"/>
              <a:t>年全国</a:t>
            </a:r>
            <a:r>
              <a:rPr lang="en-US" sz="1000"/>
              <a:t>31</a:t>
            </a:r>
            <a:r>
              <a:rPr lang="zh-CN" sz="1000"/>
              <a:t>个省市咨询市场</a:t>
            </a:r>
            <a:endParaRPr lang="en-US" sz="1000"/>
          </a:p>
          <a:p>
            <a:pPr algn="ctr" rtl="0">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00"/>
              <a:t>（</a:t>
            </a:r>
            <a:r>
              <a:rPr lang="zh-CN" altLang="en-US" sz="1000"/>
              <a:t>项目金额</a:t>
            </a:r>
            <a:r>
              <a:rPr lang="zh-CN" sz="1000"/>
              <a:t>）</a:t>
            </a:r>
          </a:p>
        </c:rich>
      </c:tx>
      <c:layout>
        <c:manualLayout>
          <c:xMode val="edge"/>
          <c:yMode val="edge"/>
          <c:x val="0.21194482707557899"/>
          <c:y val="7.2836738123244699E-3"/>
        </c:manualLayout>
      </c:layout>
      <c:overlay val="0"/>
      <c:spPr>
        <a:noFill/>
        <a:ln>
          <a:noFill/>
        </a:ln>
        <a:effectLst/>
      </c:spPr>
    </c:title>
    <c:autoTitleDeleted val="0"/>
    <c:plotArea>
      <c:layout>
        <c:manualLayout>
          <c:layoutTarget val="inner"/>
          <c:xMode val="edge"/>
          <c:yMode val="edge"/>
          <c:x val="0.17042939182987801"/>
          <c:y val="0.17659380176200901"/>
          <c:w val="0.72251418734545902"/>
          <c:h val="0.80191430011762699"/>
        </c:manualLayout>
      </c:layout>
      <c:barChart>
        <c:barDir val="bar"/>
        <c:grouping val="clustered"/>
        <c:varyColors val="0"/>
        <c:ser>
          <c:idx val="1"/>
          <c:order val="0"/>
          <c:spPr>
            <a:solidFill>
              <a:srgbClr val="00B0F0"/>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'图2-5 (1)'!$G$2:$G$32</c:f>
              <c:strCache>
                <c:ptCount val="31"/>
                <c:pt idx="0">
                  <c:v>宁夏</c:v>
                </c:pt>
                <c:pt idx="1">
                  <c:v>海南</c:v>
                </c:pt>
                <c:pt idx="2">
                  <c:v>青海</c:v>
                </c:pt>
                <c:pt idx="3">
                  <c:v>西藏</c:v>
                </c:pt>
                <c:pt idx="4">
                  <c:v>吉林</c:v>
                </c:pt>
                <c:pt idx="5">
                  <c:v>黑龙江</c:v>
                </c:pt>
                <c:pt idx="6">
                  <c:v>福建</c:v>
                </c:pt>
                <c:pt idx="7">
                  <c:v>贵州</c:v>
                </c:pt>
                <c:pt idx="8">
                  <c:v>新疆</c:v>
                </c:pt>
                <c:pt idx="9">
                  <c:v>甘肃</c:v>
                </c:pt>
                <c:pt idx="10">
                  <c:v>陕西</c:v>
                </c:pt>
                <c:pt idx="11">
                  <c:v>内蒙古</c:v>
                </c:pt>
                <c:pt idx="12">
                  <c:v>湖南</c:v>
                </c:pt>
                <c:pt idx="13">
                  <c:v>湖北</c:v>
                </c:pt>
                <c:pt idx="14">
                  <c:v>云南</c:v>
                </c:pt>
                <c:pt idx="15">
                  <c:v>安徽</c:v>
                </c:pt>
                <c:pt idx="16">
                  <c:v>北京</c:v>
                </c:pt>
                <c:pt idx="17">
                  <c:v>四川</c:v>
                </c:pt>
                <c:pt idx="18">
                  <c:v>广西</c:v>
                </c:pt>
                <c:pt idx="19">
                  <c:v>辽宁</c:v>
                </c:pt>
                <c:pt idx="20">
                  <c:v>天津</c:v>
                </c:pt>
                <c:pt idx="21">
                  <c:v>重庆</c:v>
                </c:pt>
                <c:pt idx="22">
                  <c:v>江西</c:v>
                </c:pt>
                <c:pt idx="23">
                  <c:v>山西</c:v>
                </c:pt>
                <c:pt idx="24">
                  <c:v>上海</c:v>
                </c:pt>
                <c:pt idx="25">
                  <c:v>河南</c:v>
                </c:pt>
                <c:pt idx="26">
                  <c:v>浙江</c:v>
                </c:pt>
                <c:pt idx="27">
                  <c:v>河北</c:v>
                </c:pt>
                <c:pt idx="28">
                  <c:v>山东</c:v>
                </c:pt>
                <c:pt idx="29">
                  <c:v>江苏</c:v>
                </c:pt>
                <c:pt idx="30">
                  <c:v>广东</c:v>
                </c:pt>
              </c:strCache>
            </c:strRef>
          </c:cat>
          <c:val>
            <c:numRef>
              <c:f>'图2-5 (1)'!$I$2:$I$32</c:f>
              <c:numCache>
                <c:formatCode>0.00_);[Red]\(0.00\)</c:formatCode>
                <c:ptCount val="31"/>
                <c:pt idx="0">
                  <c:v>1.0500000000000001E-2</c:v>
                </c:pt>
                <c:pt idx="1">
                  <c:v>6.9423799999999994E-2</c:v>
                </c:pt>
                <c:pt idx="2">
                  <c:v>7.0479E-2</c:v>
                </c:pt>
                <c:pt idx="3">
                  <c:v>9.9509200000000006E-2</c:v>
                </c:pt>
                <c:pt idx="4">
                  <c:v>0.195714</c:v>
                </c:pt>
                <c:pt idx="5">
                  <c:v>0.27183305000000002</c:v>
                </c:pt>
                <c:pt idx="6">
                  <c:v>0.32322499999999998</c:v>
                </c:pt>
                <c:pt idx="7">
                  <c:v>0.36199224000000002</c:v>
                </c:pt>
                <c:pt idx="8">
                  <c:v>0.36319499999999999</c:v>
                </c:pt>
                <c:pt idx="9">
                  <c:v>0.38964256000000003</c:v>
                </c:pt>
                <c:pt idx="10">
                  <c:v>0.43269302199999998</c:v>
                </c:pt>
                <c:pt idx="11">
                  <c:v>0.57266204499999995</c:v>
                </c:pt>
                <c:pt idx="12">
                  <c:v>0.66391613400000005</c:v>
                </c:pt>
                <c:pt idx="13">
                  <c:v>0.784937</c:v>
                </c:pt>
                <c:pt idx="14">
                  <c:v>0.79948402200000002</c:v>
                </c:pt>
                <c:pt idx="15">
                  <c:v>0.80160116999999997</c:v>
                </c:pt>
                <c:pt idx="16">
                  <c:v>0.90640834999999997</c:v>
                </c:pt>
                <c:pt idx="17">
                  <c:v>0.92325000000000002</c:v>
                </c:pt>
                <c:pt idx="18">
                  <c:v>0.96906599999999998</c:v>
                </c:pt>
                <c:pt idx="19">
                  <c:v>1.0159155</c:v>
                </c:pt>
                <c:pt idx="20">
                  <c:v>1.0403341923</c:v>
                </c:pt>
                <c:pt idx="21">
                  <c:v>1.091800345</c:v>
                </c:pt>
                <c:pt idx="22">
                  <c:v>1.3921426400000001</c:v>
                </c:pt>
                <c:pt idx="23">
                  <c:v>1.4612194999999999</c:v>
                </c:pt>
                <c:pt idx="24">
                  <c:v>1.76895509</c:v>
                </c:pt>
                <c:pt idx="25">
                  <c:v>1.827707</c:v>
                </c:pt>
                <c:pt idx="26">
                  <c:v>1.9379020499999999</c:v>
                </c:pt>
                <c:pt idx="27">
                  <c:v>2.1206130801</c:v>
                </c:pt>
                <c:pt idx="28">
                  <c:v>2.9964375900000002</c:v>
                </c:pt>
                <c:pt idx="29">
                  <c:v>4.0304737800000003</c:v>
                </c:pt>
                <c:pt idx="30">
                  <c:v>5.3190109838000001</c:v>
                </c:pt>
              </c:numCache>
            </c:numRef>
          </c:val>
          <c:extLst>
            <c:ext xmlns:c16="http://schemas.microsoft.com/office/drawing/2014/chart" uri="{C3380CC4-5D6E-409C-BE32-E72D297353CC}">
              <c16:uniqueId val="{00000000-8275-41D5-97EA-56760F3D32C7}"/>
            </c:ext>
          </c:extLst>
        </c:ser>
        <c:dLbls>
          <c:showLegendKey val="0"/>
          <c:showVal val="1"/>
          <c:showCatName val="0"/>
          <c:showSerName val="0"/>
          <c:showPercent val="0"/>
          <c:showBubbleSize val="0"/>
        </c:dLbls>
        <c:gapWidth val="182"/>
        <c:axId val="333453184"/>
        <c:axId val="333456128"/>
      </c:barChart>
      <c:catAx>
        <c:axId val="33345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456128"/>
        <c:crosses val="autoZero"/>
        <c:auto val="1"/>
        <c:lblAlgn val="ctr"/>
        <c:lblOffset val="100"/>
        <c:noMultiLvlLbl val="0"/>
      </c:catAx>
      <c:valAx>
        <c:axId val="333456128"/>
        <c:scaling>
          <c:orientation val="minMax"/>
          <c:max val="6"/>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altLang="en-US"/>
                  <a:t>项目</a:t>
                </a:r>
                <a:r>
                  <a:rPr lang="zh-CN"/>
                  <a:t>金额（亿元）</a:t>
                </a:r>
              </a:p>
            </c:rich>
          </c:tx>
          <c:layout>
            <c:manualLayout>
              <c:xMode val="edge"/>
              <c:yMode val="edge"/>
              <c:x val="0.65736474524993205"/>
              <c:y val="9.4455385649470702E-2"/>
            </c:manualLayout>
          </c:layout>
          <c:overlay val="0"/>
          <c:spPr>
            <a:noFill/>
            <a:ln>
              <a:noFill/>
            </a:ln>
            <a:effectLst/>
          </c:spPr>
        </c:title>
        <c:numFmt formatCode="0.00_);[Red]\(0.00\)" sourceLinked="1"/>
        <c:majorTickMark val="none"/>
        <c:minorTickMark val="none"/>
        <c:tickLblPos val="high"/>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453184"/>
        <c:crosses val="autoZero"/>
        <c:crossBetween val="between"/>
      </c:valAx>
      <c:spPr>
        <a:noFill/>
        <a:ln>
          <a:solidFill>
            <a:sysClr val="windowText" lastClr="000000">
              <a:lumMod val="15000"/>
              <a:lumOff val="85000"/>
            </a:sys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a:latin typeface="楷体" panose="02010609060101010101" pitchFamily="3" charset="-122"/>
          <a:ea typeface="楷体" panose="02010609060101010101" pitchFamily="3"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00"/>
              <a:t>2021</a:t>
            </a:r>
            <a:r>
              <a:rPr lang="zh-CN" sz="1000"/>
              <a:t>年全国</a:t>
            </a:r>
            <a:r>
              <a:rPr lang="en-US" sz="1000"/>
              <a:t>31</a:t>
            </a:r>
            <a:r>
              <a:rPr lang="zh-CN" sz="1000"/>
              <a:t>个省市咨询市场</a:t>
            </a:r>
            <a:endParaRPr lang="en-US" sz="1000"/>
          </a:p>
          <a:p>
            <a:pPr algn="ctr" rtl="0">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00"/>
              <a:t>（</a:t>
            </a:r>
            <a:r>
              <a:rPr lang="zh-CN" altLang="en-US" sz="1000"/>
              <a:t>项目数量</a:t>
            </a:r>
            <a:r>
              <a:rPr lang="zh-CN" sz="1000"/>
              <a:t>）</a:t>
            </a:r>
          </a:p>
        </c:rich>
      </c:tx>
      <c:layout>
        <c:manualLayout>
          <c:xMode val="edge"/>
          <c:yMode val="edge"/>
          <c:x val="0.21194482707557899"/>
          <c:y val="7.2836738123244699E-3"/>
        </c:manualLayout>
      </c:layout>
      <c:overlay val="0"/>
      <c:spPr>
        <a:noFill/>
        <a:ln>
          <a:noFill/>
        </a:ln>
        <a:effectLst/>
      </c:spPr>
    </c:title>
    <c:autoTitleDeleted val="0"/>
    <c:plotArea>
      <c:layout>
        <c:manualLayout>
          <c:layoutTarget val="inner"/>
          <c:xMode val="edge"/>
          <c:yMode val="edge"/>
          <c:x val="0.17042939182987801"/>
          <c:y val="0.17659380176200901"/>
          <c:w val="0.72251418734545902"/>
          <c:h val="0.80191430011762699"/>
        </c:manualLayout>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'图2-3 (2)'!$E$2:$E$32</c:f>
              <c:strCache>
                <c:ptCount val="31"/>
                <c:pt idx="0">
                  <c:v>宁夏</c:v>
                </c:pt>
                <c:pt idx="1">
                  <c:v>海南</c:v>
                </c:pt>
                <c:pt idx="2">
                  <c:v>西藏</c:v>
                </c:pt>
                <c:pt idx="3">
                  <c:v>青海</c:v>
                </c:pt>
                <c:pt idx="4">
                  <c:v>新疆</c:v>
                </c:pt>
                <c:pt idx="5">
                  <c:v>甘肃</c:v>
                </c:pt>
                <c:pt idx="6">
                  <c:v>吉林</c:v>
                </c:pt>
                <c:pt idx="7">
                  <c:v>北京</c:v>
                </c:pt>
                <c:pt idx="8">
                  <c:v>贵州</c:v>
                </c:pt>
                <c:pt idx="9">
                  <c:v>内蒙古</c:v>
                </c:pt>
                <c:pt idx="10">
                  <c:v>陕西</c:v>
                </c:pt>
                <c:pt idx="11">
                  <c:v>黑龙江</c:v>
                </c:pt>
                <c:pt idx="12">
                  <c:v>广西</c:v>
                </c:pt>
                <c:pt idx="13">
                  <c:v>福建</c:v>
                </c:pt>
                <c:pt idx="14">
                  <c:v>云南</c:v>
                </c:pt>
                <c:pt idx="15">
                  <c:v>湖南</c:v>
                </c:pt>
                <c:pt idx="16">
                  <c:v>湖北</c:v>
                </c:pt>
                <c:pt idx="17">
                  <c:v>天津</c:v>
                </c:pt>
                <c:pt idx="18">
                  <c:v>河南</c:v>
                </c:pt>
                <c:pt idx="19">
                  <c:v>安徽</c:v>
                </c:pt>
                <c:pt idx="20">
                  <c:v>四川</c:v>
                </c:pt>
                <c:pt idx="21">
                  <c:v>山西</c:v>
                </c:pt>
                <c:pt idx="22">
                  <c:v>江西</c:v>
                </c:pt>
                <c:pt idx="23">
                  <c:v>河北</c:v>
                </c:pt>
                <c:pt idx="24">
                  <c:v>辽宁</c:v>
                </c:pt>
                <c:pt idx="25">
                  <c:v>重庆</c:v>
                </c:pt>
                <c:pt idx="26">
                  <c:v>浙江</c:v>
                </c:pt>
                <c:pt idx="27">
                  <c:v>上海</c:v>
                </c:pt>
                <c:pt idx="28">
                  <c:v>山东</c:v>
                </c:pt>
                <c:pt idx="29">
                  <c:v>江苏</c:v>
                </c:pt>
                <c:pt idx="30">
                  <c:v>广东</c:v>
                </c:pt>
              </c:strCache>
            </c:strRef>
          </c:cat>
          <c:val>
            <c:numRef>
              <c:f>'图2-3 (2)'!$F$2:$F$32</c:f>
              <c:numCache>
                <c:formatCode>General</c:formatCode>
                <c:ptCount val="31"/>
                <c:pt idx="0">
                  <c:v>1</c:v>
                </c:pt>
                <c:pt idx="1">
                  <c:v>4</c:v>
                </c:pt>
                <c:pt idx="2">
                  <c:v>4</c:v>
                </c:pt>
                <c:pt idx="3">
                  <c:v>9</c:v>
                </c:pt>
                <c:pt idx="4">
                  <c:v>14</c:v>
                </c:pt>
                <c:pt idx="5">
                  <c:v>25</c:v>
                </c:pt>
                <c:pt idx="6">
                  <c:v>25</c:v>
                </c:pt>
                <c:pt idx="7">
                  <c:v>32</c:v>
                </c:pt>
                <c:pt idx="8">
                  <c:v>32</c:v>
                </c:pt>
                <c:pt idx="9">
                  <c:v>32</c:v>
                </c:pt>
                <c:pt idx="10">
                  <c:v>42</c:v>
                </c:pt>
                <c:pt idx="11">
                  <c:v>44</c:v>
                </c:pt>
                <c:pt idx="12">
                  <c:v>46</c:v>
                </c:pt>
                <c:pt idx="13">
                  <c:v>49</c:v>
                </c:pt>
                <c:pt idx="14">
                  <c:v>52</c:v>
                </c:pt>
                <c:pt idx="15">
                  <c:v>61</c:v>
                </c:pt>
                <c:pt idx="16">
                  <c:v>63</c:v>
                </c:pt>
                <c:pt idx="17">
                  <c:v>67</c:v>
                </c:pt>
                <c:pt idx="18">
                  <c:v>74</c:v>
                </c:pt>
                <c:pt idx="19">
                  <c:v>77</c:v>
                </c:pt>
                <c:pt idx="20">
                  <c:v>81</c:v>
                </c:pt>
                <c:pt idx="21">
                  <c:v>86</c:v>
                </c:pt>
                <c:pt idx="22">
                  <c:v>113</c:v>
                </c:pt>
                <c:pt idx="23">
                  <c:v>114</c:v>
                </c:pt>
                <c:pt idx="24">
                  <c:v>120</c:v>
                </c:pt>
                <c:pt idx="25">
                  <c:v>199</c:v>
                </c:pt>
                <c:pt idx="26">
                  <c:v>221</c:v>
                </c:pt>
                <c:pt idx="27">
                  <c:v>228</c:v>
                </c:pt>
                <c:pt idx="28">
                  <c:v>358</c:v>
                </c:pt>
                <c:pt idx="29">
                  <c:v>370</c:v>
                </c:pt>
                <c:pt idx="30">
                  <c:v>480</c:v>
                </c:pt>
              </c:numCache>
            </c:numRef>
          </c:val>
          <c:extLst>
            <c:ext xmlns:c16="http://schemas.microsoft.com/office/drawing/2014/chart" uri="{C3380CC4-5D6E-409C-BE32-E72D297353CC}">
              <c16:uniqueId val="{00000000-F97A-4249-8425-075F1241FCC0}"/>
            </c:ext>
          </c:extLst>
        </c:ser>
        <c:dLbls>
          <c:showLegendKey val="0"/>
          <c:showVal val="1"/>
          <c:showCatName val="0"/>
          <c:showSerName val="0"/>
          <c:showPercent val="0"/>
          <c:showBubbleSize val="0"/>
        </c:dLbls>
        <c:gapWidth val="182"/>
        <c:axId val="333485568"/>
        <c:axId val="333496704"/>
      </c:barChart>
      <c:catAx>
        <c:axId val="333485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496704"/>
        <c:crosses val="autoZero"/>
        <c:auto val="1"/>
        <c:lblAlgn val="ctr"/>
        <c:lblOffset val="100"/>
        <c:noMultiLvlLbl val="0"/>
      </c:catAx>
      <c:valAx>
        <c:axId val="333496704"/>
        <c:scaling>
          <c:orientation val="minMax"/>
          <c:max val="500"/>
          <c:min val="0"/>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altLang="en-US"/>
                  <a:t>项目数量</a:t>
                </a:r>
                <a:r>
                  <a:rPr lang="zh-CN"/>
                  <a:t>（</a:t>
                </a:r>
                <a:r>
                  <a:rPr lang="zh-CN" altLang="en-US"/>
                  <a:t>个</a:t>
                </a:r>
                <a:r>
                  <a:rPr lang="zh-CN"/>
                  <a:t>）</a:t>
                </a:r>
              </a:p>
            </c:rich>
          </c:tx>
          <c:layout>
            <c:manualLayout>
              <c:xMode val="edge"/>
              <c:yMode val="edge"/>
              <c:x val="0.65736474524993205"/>
              <c:y val="9.4455385649470702E-2"/>
            </c:manualLayout>
          </c:layout>
          <c:overlay val="0"/>
          <c:spPr>
            <a:noFill/>
            <a:ln>
              <a:noFill/>
            </a:ln>
            <a:effectLst/>
          </c:spPr>
        </c:title>
        <c:numFmt formatCode="General" sourceLinked="1"/>
        <c:majorTickMark val="none"/>
        <c:minorTickMark val="none"/>
        <c:tickLblPos val="high"/>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485568"/>
        <c:crosses val="autoZero"/>
        <c:crossBetween val="between"/>
      </c:valAx>
      <c:spPr>
        <a:noFill/>
        <a:ln>
          <a:solidFill>
            <a:sysClr val="windowText" lastClr="000000">
              <a:lumMod val="15000"/>
              <a:lumOff val="85000"/>
            </a:sys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a:latin typeface="楷体" panose="02010609060101010101" pitchFamily="3" charset="-122"/>
          <a:ea typeface="楷体" panose="02010609060101010101" pitchFamily="3" charset="-122"/>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5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50"/>
              <a:t>2021</a:t>
            </a:r>
            <a:r>
              <a:rPr lang="zh-CN" sz="1050"/>
              <a:t>年全国</a:t>
            </a:r>
            <a:r>
              <a:rPr lang="en-US" sz="1050"/>
              <a:t>30</a:t>
            </a:r>
            <a:r>
              <a:rPr lang="zh-CN" sz="1050"/>
              <a:t>个省市修复工程市场</a:t>
            </a:r>
            <a:endParaRPr lang="en-US" altLang="zh-CN" sz="1050"/>
          </a:p>
          <a:p>
            <a:pPr>
              <a:defRPr lang="zh-CN" sz="105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50"/>
              <a:t>（项目金额）</a:t>
            </a:r>
          </a:p>
        </c:rich>
      </c:tx>
      <c:layout>
        <c:manualLayout>
          <c:xMode val="edge"/>
          <c:yMode val="edge"/>
          <c:x val="0.11662037037037"/>
          <c:y val="2.4701194547448499E-2"/>
        </c:manualLayout>
      </c:layout>
      <c:overlay val="0"/>
      <c:spPr>
        <a:noFill/>
        <a:ln>
          <a:noFill/>
        </a:ln>
        <a:effectLst/>
      </c:spPr>
    </c:title>
    <c:autoTitleDeleted val="0"/>
    <c:plotArea>
      <c:layout>
        <c:manualLayout>
          <c:layoutTarget val="inner"/>
          <c:xMode val="edge"/>
          <c:yMode val="edge"/>
          <c:x val="0.20397082965980601"/>
          <c:y val="0.15635771734967399"/>
          <c:w val="0.67005327881312104"/>
          <c:h val="0.80103408655687502"/>
        </c:manualLayout>
      </c:layout>
      <c:barChart>
        <c:barDir val="bar"/>
        <c:grouping val="clustered"/>
        <c:varyColors val="0"/>
        <c:ser>
          <c:idx val="0"/>
          <c:order val="0"/>
          <c:spPr>
            <a:solidFill>
              <a:srgbClr val="F6AC4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'图3-3'!$A$37:$A$66</c:f>
              <c:strCache>
                <c:ptCount val="30"/>
                <c:pt idx="0">
                  <c:v>重庆</c:v>
                </c:pt>
                <c:pt idx="1">
                  <c:v>浙江</c:v>
                </c:pt>
                <c:pt idx="2">
                  <c:v>江苏</c:v>
                </c:pt>
                <c:pt idx="3">
                  <c:v>安徽</c:v>
                </c:pt>
                <c:pt idx="4">
                  <c:v>山东</c:v>
                </c:pt>
                <c:pt idx="5">
                  <c:v>广东</c:v>
                </c:pt>
                <c:pt idx="6">
                  <c:v>湖南</c:v>
                </c:pt>
                <c:pt idx="7">
                  <c:v>天津</c:v>
                </c:pt>
                <c:pt idx="8">
                  <c:v>湖北</c:v>
                </c:pt>
                <c:pt idx="9">
                  <c:v>云南</c:v>
                </c:pt>
                <c:pt idx="10">
                  <c:v>四川</c:v>
                </c:pt>
                <c:pt idx="11">
                  <c:v>江西</c:v>
                </c:pt>
                <c:pt idx="12">
                  <c:v>北京</c:v>
                </c:pt>
                <c:pt idx="13">
                  <c:v>上海</c:v>
                </c:pt>
                <c:pt idx="14">
                  <c:v>山西</c:v>
                </c:pt>
                <c:pt idx="15">
                  <c:v>青海</c:v>
                </c:pt>
                <c:pt idx="16">
                  <c:v>广西</c:v>
                </c:pt>
                <c:pt idx="17">
                  <c:v>辽宁</c:v>
                </c:pt>
                <c:pt idx="18">
                  <c:v>新疆</c:v>
                </c:pt>
                <c:pt idx="19">
                  <c:v>河南</c:v>
                </c:pt>
                <c:pt idx="20">
                  <c:v>河北</c:v>
                </c:pt>
                <c:pt idx="21">
                  <c:v>甘肃</c:v>
                </c:pt>
                <c:pt idx="22">
                  <c:v>内蒙古</c:v>
                </c:pt>
                <c:pt idx="23">
                  <c:v>福建</c:v>
                </c:pt>
                <c:pt idx="24">
                  <c:v>陕西</c:v>
                </c:pt>
                <c:pt idx="25">
                  <c:v>贵州</c:v>
                </c:pt>
                <c:pt idx="26">
                  <c:v>海南</c:v>
                </c:pt>
                <c:pt idx="27">
                  <c:v>黑龙江</c:v>
                </c:pt>
                <c:pt idx="28">
                  <c:v>吉林</c:v>
                </c:pt>
                <c:pt idx="29">
                  <c:v>宁夏</c:v>
                </c:pt>
              </c:strCache>
            </c:strRef>
          </c:cat>
          <c:val>
            <c:numRef>
              <c:f>'图3-3'!$C$37:$C$66</c:f>
              <c:numCache>
                <c:formatCode>0.00_);[Red]\(0.00\)</c:formatCode>
                <c:ptCount val="30"/>
                <c:pt idx="0">
                  <c:v>23.836224690800002</c:v>
                </c:pt>
                <c:pt idx="1">
                  <c:v>13.07333032</c:v>
                </c:pt>
                <c:pt idx="2">
                  <c:v>12.0885880446</c:v>
                </c:pt>
                <c:pt idx="3">
                  <c:v>8.8017622099999997</c:v>
                </c:pt>
                <c:pt idx="4">
                  <c:v>6.1638990490000003</c:v>
                </c:pt>
                <c:pt idx="5">
                  <c:v>6.1431953768999996</c:v>
                </c:pt>
                <c:pt idx="6">
                  <c:v>5.6953645799999997</c:v>
                </c:pt>
                <c:pt idx="7">
                  <c:v>5.1962796600000001</c:v>
                </c:pt>
                <c:pt idx="8">
                  <c:v>5.09258188</c:v>
                </c:pt>
                <c:pt idx="9">
                  <c:v>4.1663406525999997</c:v>
                </c:pt>
                <c:pt idx="10">
                  <c:v>3.9415905124799999</c:v>
                </c:pt>
                <c:pt idx="11">
                  <c:v>3.0885107399999998</c:v>
                </c:pt>
                <c:pt idx="12">
                  <c:v>1.7858735076000001</c:v>
                </c:pt>
                <c:pt idx="13">
                  <c:v>1.4300889132000001</c:v>
                </c:pt>
                <c:pt idx="14">
                  <c:v>1.3931119999999999</c:v>
                </c:pt>
                <c:pt idx="15">
                  <c:v>1.3676473697</c:v>
                </c:pt>
                <c:pt idx="16">
                  <c:v>1.2636377217000001</c:v>
                </c:pt>
                <c:pt idx="17">
                  <c:v>1.2551065595999999</c:v>
                </c:pt>
                <c:pt idx="18">
                  <c:v>1.2500020000000001</c:v>
                </c:pt>
                <c:pt idx="19">
                  <c:v>1.2053430352000001</c:v>
                </c:pt>
                <c:pt idx="20">
                  <c:v>1.0986360884999999</c:v>
                </c:pt>
                <c:pt idx="21">
                  <c:v>1.0782400000000001</c:v>
                </c:pt>
                <c:pt idx="22">
                  <c:v>0.72582405019999996</c:v>
                </c:pt>
                <c:pt idx="23">
                  <c:v>0.56262299999999998</c:v>
                </c:pt>
                <c:pt idx="24">
                  <c:v>0.55794681000000002</c:v>
                </c:pt>
                <c:pt idx="25">
                  <c:v>0.49648196309999998</c:v>
                </c:pt>
                <c:pt idx="26">
                  <c:v>0.35831973360000002</c:v>
                </c:pt>
                <c:pt idx="27">
                  <c:v>0.34949089729999999</c:v>
                </c:pt>
                <c:pt idx="28">
                  <c:v>5.2148529999999998E-2</c:v>
                </c:pt>
                <c:pt idx="29">
                  <c:v>1.4E-2</c:v>
                </c:pt>
              </c:numCache>
            </c:numRef>
          </c:val>
          <c:extLst>
            <c:ext xmlns:c16="http://schemas.microsoft.com/office/drawing/2014/chart" uri="{C3380CC4-5D6E-409C-BE32-E72D297353CC}">
              <c16:uniqueId val="{00000000-BB43-4378-B774-44309E384396}"/>
            </c:ext>
          </c:extLst>
        </c:ser>
        <c:dLbls>
          <c:showLegendKey val="0"/>
          <c:showVal val="1"/>
          <c:showCatName val="0"/>
          <c:showSerName val="0"/>
          <c:showPercent val="0"/>
          <c:showBubbleSize val="0"/>
        </c:dLbls>
        <c:gapWidth val="182"/>
        <c:overlap val="-49"/>
        <c:axId val="333656064"/>
        <c:axId val="333658752"/>
      </c:barChart>
      <c:catAx>
        <c:axId val="333656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658752"/>
        <c:crosses val="autoZero"/>
        <c:auto val="1"/>
        <c:lblAlgn val="ctr"/>
        <c:lblOffset val="100"/>
        <c:noMultiLvlLbl val="0"/>
      </c:catAx>
      <c:valAx>
        <c:axId val="333658752"/>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a:t>投资金额（亿</a:t>
                </a:r>
                <a:r>
                  <a:rPr lang="zh-CN" altLang="en-US"/>
                  <a:t>元</a:t>
                </a:r>
                <a:r>
                  <a:rPr lang="zh-CN"/>
                  <a:t>）</a:t>
                </a:r>
              </a:p>
            </c:rich>
          </c:tx>
          <c:layout>
            <c:manualLayout>
              <c:xMode val="edge"/>
              <c:yMode val="edge"/>
              <c:x val="0.664327016516158"/>
              <c:y val="9.0480153164286301E-2"/>
            </c:manualLayout>
          </c:layout>
          <c:overlay val="0"/>
          <c:spPr>
            <a:noFill/>
            <a:ln>
              <a:noFill/>
            </a:ln>
            <a:effectLst/>
          </c:spPr>
        </c:title>
        <c:numFmt formatCode="0.00_);[Red]\(0.00\)" sourceLinked="1"/>
        <c:majorTickMark val="none"/>
        <c:minorTickMark val="none"/>
        <c:tickLblPos val="low"/>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656064"/>
        <c:crosses val="max"/>
        <c:crossBetween val="between"/>
      </c:valAx>
      <c:spPr>
        <a:noFill/>
        <a:ln>
          <a:solidFill>
            <a:sysClr val="window" lastClr="FFFFFF">
              <a:lumMod val="85000"/>
            </a:sys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lgn="just">
        <a:defRPr lang="zh-CN">
          <a:latin typeface="楷体" panose="02010609060101010101" pitchFamily="3" charset="-122"/>
          <a:ea typeface="楷体" panose="02010609060101010101" pitchFamily="3" charset="-122"/>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en-US" sz="1000"/>
              <a:t>2021</a:t>
            </a:r>
            <a:r>
              <a:rPr lang="zh-CN" sz="1000"/>
              <a:t>年全国</a:t>
            </a:r>
            <a:r>
              <a:rPr lang="en-US" sz="1000"/>
              <a:t>30</a:t>
            </a:r>
            <a:r>
              <a:rPr lang="zh-CN" sz="1000"/>
              <a:t>个省市修复工程市场</a:t>
            </a:r>
            <a:endParaRPr lang="en-US" altLang="zh-CN" sz="1000"/>
          </a:p>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sz="1000"/>
              <a:t>（项目数）</a:t>
            </a:r>
          </a:p>
        </c:rich>
      </c:tx>
      <c:layout>
        <c:manualLayout>
          <c:xMode val="edge"/>
          <c:yMode val="edge"/>
          <c:x val="9.4583772391991602E-2"/>
          <c:y val="2.58844129964792E-2"/>
        </c:manualLayout>
      </c:layout>
      <c:overlay val="0"/>
      <c:spPr>
        <a:noFill/>
        <a:ln>
          <a:noFill/>
        </a:ln>
        <a:effectLst/>
      </c:spPr>
    </c:title>
    <c:autoTitleDeleted val="0"/>
    <c:plotArea>
      <c:layout>
        <c:manualLayout>
          <c:layoutTarget val="inner"/>
          <c:xMode val="edge"/>
          <c:yMode val="edge"/>
          <c:x val="0.23865778793918899"/>
          <c:y val="0.154469993321248"/>
          <c:w val="0.67844359607871296"/>
          <c:h val="0.800686957351398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'图3-3'!$A$5:$A$34</c:f>
              <c:strCache>
                <c:ptCount val="30"/>
                <c:pt idx="0">
                  <c:v>湖南</c:v>
                </c:pt>
                <c:pt idx="1">
                  <c:v>湖北</c:v>
                </c:pt>
                <c:pt idx="2">
                  <c:v>浙江</c:v>
                </c:pt>
                <c:pt idx="3">
                  <c:v>江苏</c:v>
                </c:pt>
                <c:pt idx="4">
                  <c:v>重庆</c:v>
                </c:pt>
                <c:pt idx="5">
                  <c:v>山东</c:v>
                </c:pt>
                <c:pt idx="6">
                  <c:v>广东</c:v>
                </c:pt>
                <c:pt idx="7">
                  <c:v>四川</c:v>
                </c:pt>
                <c:pt idx="8">
                  <c:v>江西</c:v>
                </c:pt>
                <c:pt idx="9">
                  <c:v>上海</c:v>
                </c:pt>
                <c:pt idx="10">
                  <c:v>云南</c:v>
                </c:pt>
                <c:pt idx="11">
                  <c:v>广西</c:v>
                </c:pt>
                <c:pt idx="12">
                  <c:v>河南</c:v>
                </c:pt>
                <c:pt idx="13">
                  <c:v>安徽</c:v>
                </c:pt>
                <c:pt idx="14">
                  <c:v>河北</c:v>
                </c:pt>
                <c:pt idx="15">
                  <c:v>天津</c:v>
                </c:pt>
                <c:pt idx="16">
                  <c:v>贵州</c:v>
                </c:pt>
                <c:pt idx="17">
                  <c:v>福建</c:v>
                </c:pt>
                <c:pt idx="18">
                  <c:v>北京</c:v>
                </c:pt>
                <c:pt idx="19">
                  <c:v>陕西</c:v>
                </c:pt>
                <c:pt idx="20">
                  <c:v>甘肃</c:v>
                </c:pt>
                <c:pt idx="21">
                  <c:v>辽宁</c:v>
                </c:pt>
                <c:pt idx="22">
                  <c:v>内蒙古</c:v>
                </c:pt>
                <c:pt idx="23">
                  <c:v>青海</c:v>
                </c:pt>
                <c:pt idx="24">
                  <c:v>山西</c:v>
                </c:pt>
                <c:pt idx="25">
                  <c:v>吉林</c:v>
                </c:pt>
                <c:pt idx="26">
                  <c:v>黑龙江</c:v>
                </c:pt>
                <c:pt idx="27">
                  <c:v>新疆</c:v>
                </c:pt>
                <c:pt idx="28">
                  <c:v>海南</c:v>
                </c:pt>
                <c:pt idx="29">
                  <c:v>宁夏</c:v>
                </c:pt>
              </c:strCache>
            </c:strRef>
          </c:cat>
          <c:val>
            <c:numRef>
              <c:f>'图3-3'!$B$5:$B$34</c:f>
              <c:numCache>
                <c:formatCode>General</c:formatCode>
                <c:ptCount val="30"/>
                <c:pt idx="0">
                  <c:v>60</c:v>
                </c:pt>
                <c:pt idx="1">
                  <c:v>37</c:v>
                </c:pt>
                <c:pt idx="2">
                  <c:v>37</c:v>
                </c:pt>
                <c:pt idx="3">
                  <c:v>36</c:v>
                </c:pt>
                <c:pt idx="4">
                  <c:v>34</c:v>
                </c:pt>
                <c:pt idx="5">
                  <c:v>33</c:v>
                </c:pt>
                <c:pt idx="6">
                  <c:v>29</c:v>
                </c:pt>
                <c:pt idx="7">
                  <c:v>27</c:v>
                </c:pt>
                <c:pt idx="8">
                  <c:v>24</c:v>
                </c:pt>
                <c:pt idx="9">
                  <c:v>23</c:v>
                </c:pt>
                <c:pt idx="10">
                  <c:v>23</c:v>
                </c:pt>
                <c:pt idx="11">
                  <c:v>21</c:v>
                </c:pt>
                <c:pt idx="12">
                  <c:v>19</c:v>
                </c:pt>
                <c:pt idx="13">
                  <c:v>16</c:v>
                </c:pt>
                <c:pt idx="14">
                  <c:v>13</c:v>
                </c:pt>
                <c:pt idx="15">
                  <c:v>12</c:v>
                </c:pt>
                <c:pt idx="16">
                  <c:v>10</c:v>
                </c:pt>
                <c:pt idx="17">
                  <c:v>8</c:v>
                </c:pt>
                <c:pt idx="18">
                  <c:v>6</c:v>
                </c:pt>
                <c:pt idx="19">
                  <c:v>6</c:v>
                </c:pt>
                <c:pt idx="20">
                  <c:v>4</c:v>
                </c:pt>
                <c:pt idx="21">
                  <c:v>4</c:v>
                </c:pt>
                <c:pt idx="22">
                  <c:v>4</c:v>
                </c:pt>
                <c:pt idx="23">
                  <c:v>4</c:v>
                </c:pt>
                <c:pt idx="24">
                  <c:v>4</c:v>
                </c:pt>
                <c:pt idx="25">
                  <c:v>3</c:v>
                </c:pt>
                <c:pt idx="26">
                  <c:v>2</c:v>
                </c:pt>
                <c:pt idx="27">
                  <c:v>2</c:v>
                </c:pt>
                <c:pt idx="28">
                  <c:v>1</c:v>
                </c:pt>
                <c:pt idx="29">
                  <c:v>1</c:v>
                </c:pt>
              </c:numCache>
            </c:numRef>
          </c:val>
          <c:extLst>
            <c:ext xmlns:c16="http://schemas.microsoft.com/office/drawing/2014/chart" uri="{C3380CC4-5D6E-409C-BE32-E72D297353CC}">
              <c16:uniqueId val="{00000000-5673-4C96-8834-9E80A55CC690}"/>
            </c:ext>
          </c:extLst>
        </c:ser>
        <c:dLbls>
          <c:showLegendKey val="0"/>
          <c:showVal val="1"/>
          <c:showCatName val="0"/>
          <c:showSerName val="0"/>
          <c:showPercent val="0"/>
          <c:showBubbleSize val="0"/>
        </c:dLbls>
        <c:gapWidth val="182"/>
        <c:overlap val="-49"/>
        <c:axId val="333671424"/>
        <c:axId val="333702272"/>
      </c:barChart>
      <c:catAx>
        <c:axId val="333671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702272"/>
        <c:crosses val="autoZero"/>
        <c:auto val="1"/>
        <c:lblAlgn val="ctr"/>
        <c:lblOffset val="100"/>
        <c:noMultiLvlLbl val="0"/>
      </c:catAx>
      <c:valAx>
        <c:axId val="333702272"/>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1000" b="1" i="0" u="none" strike="noStrike" kern="1200" baseline="0">
                    <a:solidFill>
                      <a:schemeClr val="tx1"/>
                    </a:solidFill>
                    <a:latin typeface="楷体" panose="02010609060101010101" pitchFamily="3" charset="-122"/>
                    <a:ea typeface="楷体" panose="02010609060101010101" pitchFamily="3" charset="-122"/>
                    <a:cs typeface="+mn-cs"/>
                  </a:defRPr>
                </a:pPr>
                <a:r>
                  <a:rPr lang="zh-CN"/>
                  <a:t>项目数量（个）</a:t>
                </a:r>
              </a:p>
            </c:rich>
          </c:tx>
          <c:layout>
            <c:manualLayout>
              <c:xMode val="edge"/>
              <c:yMode val="edge"/>
              <c:x val="0.70190697620706499"/>
              <c:y val="8.9441597293148295E-2"/>
            </c:manualLayout>
          </c:layout>
          <c:overlay val="0"/>
          <c:spPr>
            <a:noFill/>
            <a:ln>
              <a:noFill/>
            </a:ln>
            <a:effectLst/>
          </c:spPr>
        </c:title>
        <c:numFmt formatCode="General" sourceLinked="1"/>
        <c:majorTickMark val="none"/>
        <c:minorTickMark val="none"/>
        <c:tickLblPos val="low"/>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楷体" panose="02010609060101010101" pitchFamily="3" charset="-122"/>
                <a:ea typeface="楷体" panose="02010609060101010101" pitchFamily="3" charset="-122"/>
                <a:cs typeface="+mn-cs"/>
              </a:defRPr>
            </a:pPr>
            <a:endParaRPr lang="zh-CN"/>
          </a:p>
        </c:txPr>
        <c:crossAx val="333671424"/>
        <c:crosses val="max"/>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楷体" panose="02010609060101010101" pitchFamily="3" charset="-122"/>
          <a:ea typeface="楷体" panose="02010609060101010101" pitchFamily="3"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D559B-DDBC-4A75-AFDC-D21C193F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dd x</cp:lastModifiedBy>
  <cp:revision>12</cp:revision>
  <cp:lastPrinted>2022-01-10T08:08:00Z</cp:lastPrinted>
  <dcterms:created xsi:type="dcterms:W3CDTF">2022-01-15T06:19:00Z</dcterms:created>
  <dcterms:modified xsi:type="dcterms:W3CDTF">2022-01-18T02:41:00Z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8BEDB375C4BF450B953F75A44C90A7D0</vt:lpwstr>
  </property>
</Properties>
</file>